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9B60440"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bookmarkStart w:id="0" w:name="_GoBack"/>
      <w:r w:rsidR="009D2FC6">
        <w:rPr>
          <w:rFonts w:ascii="楷体" w:eastAsia="楷体" w:hAnsi="楷体" w:hint="eastAsia"/>
          <w:sz w:val="28"/>
          <w:szCs w:val="28"/>
        </w:rPr>
        <w:t>临近季末扰动渐强</w:t>
      </w:r>
      <w:r w:rsidR="00CD02EA">
        <w:rPr>
          <w:rFonts w:ascii="楷体" w:eastAsia="楷体" w:hAnsi="楷体" w:hint="eastAsia"/>
          <w:sz w:val="28"/>
          <w:szCs w:val="28"/>
        </w:rPr>
        <w:t>，</w:t>
      </w:r>
      <w:r w:rsidR="006E4B59">
        <w:rPr>
          <w:rFonts w:ascii="楷体" w:eastAsia="楷体" w:hAnsi="楷体" w:hint="eastAsia"/>
          <w:sz w:val="28"/>
          <w:szCs w:val="28"/>
        </w:rPr>
        <w:t>债市</w:t>
      </w:r>
      <w:r w:rsidR="009D2FC6">
        <w:rPr>
          <w:rFonts w:ascii="楷体" w:eastAsia="楷体" w:hAnsi="楷体" w:hint="eastAsia"/>
          <w:sz w:val="28"/>
          <w:szCs w:val="28"/>
        </w:rPr>
        <w:t>预计</w:t>
      </w:r>
      <w:r w:rsidR="00A11EC6">
        <w:rPr>
          <w:rFonts w:ascii="楷体" w:eastAsia="楷体" w:hAnsi="楷体" w:hint="eastAsia"/>
          <w:sz w:val="28"/>
          <w:szCs w:val="28"/>
        </w:rPr>
        <w:t>弱势</w:t>
      </w:r>
      <w:r w:rsidR="009D2FC6">
        <w:rPr>
          <w:rFonts w:ascii="楷体" w:eastAsia="楷体" w:hAnsi="楷体" w:hint="eastAsia"/>
          <w:sz w:val="28"/>
          <w:szCs w:val="28"/>
        </w:rPr>
        <w:t>震荡</w:t>
      </w:r>
      <w:bookmarkEnd w:id="0"/>
      <w:r w:rsidR="007F77B5" w:rsidRPr="00541553">
        <w:rPr>
          <w:rFonts w:ascii="楷体" w:eastAsia="楷体" w:hAnsi="楷体"/>
          <w:sz w:val="28"/>
          <w:szCs w:val="28"/>
        </w:rPr>
        <w:t xml:space="preserve"> </w:t>
      </w:r>
    </w:p>
    <w:p w14:paraId="0A7A9383" w14:textId="67AFC6DE"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6E4B59">
        <w:rPr>
          <w:rFonts w:ascii="楷体" w:eastAsia="楷体" w:hAnsi="楷体" w:hint="eastAsia"/>
          <w:sz w:val="28"/>
          <w:szCs w:val="28"/>
        </w:rPr>
        <w:t>3</w:t>
      </w:r>
      <w:r w:rsidR="009C30E2" w:rsidRPr="00FA6C01">
        <w:rPr>
          <w:rFonts w:ascii="楷体" w:eastAsia="楷体" w:hAnsi="楷体"/>
          <w:sz w:val="28"/>
          <w:szCs w:val="28"/>
        </w:rPr>
        <w:t>月</w:t>
      </w:r>
      <w:r w:rsidR="002D361C">
        <w:rPr>
          <w:rFonts w:ascii="楷体" w:eastAsia="楷体" w:hAnsi="楷体" w:hint="eastAsia"/>
          <w:sz w:val="28"/>
          <w:szCs w:val="28"/>
        </w:rPr>
        <w:t>12</w:t>
      </w:r>
      <w:r w:rsidR="00F82A54">
        <w:rPr>
          <w:rFonts w:ascii="楷体" w:eastAsia="楷体" w:hAnsi="楷体" w:hint="eastAsia"/>
          <w:sz w:val="28"/>
          <w:szCs w:val="28"/>
        </w:rPr>
        <w:t>日</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66FA5BB2" w14:textId="446E4A5D" w:rsidR="004F7918" w:rsidRDefault="0047533E" w:rsidP="00EA42E3">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近期公布</w:t>
      </w:r>
      <w:r w:rsidR="00DD2EA7">
        <w:rPr>
          <w:rFonts w:ascii="华文楷体" w:hAnsi="华文楷体" w:hint="eastAsia"/>
          <w:b w:val="0"/>
          <w:bCs/>
          <w:smallCaps w:val="0"/>
          <w:color w:val="auto"/>
          <w:sz w:val="24"/>
          <w:szCs w:val="24"/>
        </w:rPr>
        <w:t>的</w:t>
      </w:r>
      <w:r>
        <w:rPr>
          <w:rFonts w:ascii="华文楷体" w:hAnsi="华文楷体" w:hint="eastAsia"/>
          <w:b w:val="0"/>
          <w:bCs/>
          <w:smallCaps w:val="0"/>
          <w:color w:val="auto"/>
          <w:sz w:val="24"/>
          <w:szCs w:val="24"/>
        </w:rPr>
        <w:t>2月通胀数据</w:t>
      </w:r>
      <w:r w:rsidR="00DD2EA7">
        <w:rPr>
          <w:rFonts w:ascii="华文楷体" w:hAnsi="华文楷体" w:hint="eastAsia"/>
          <w:b w:val="0"/>
          <w:bCs/>
          <w:smallCaps w:val="0"/>
          <w:color w:val="auto"/>
          <w:sz w:val="24"/>
          <w:szCs w:val="24"/>
        </w:rPr>
        <w:t>显示，</w:t>
      </w:r>
      <w:r w:rsidRPr="0047533E">
        <w:rPr>
          <w:rFonts w:ascii="华文楷体" w:hAnsi="华文楷体" w:hint="eastAsia"/>
          <w:b w:val="0"/>
          <w:bCs/>
          <w:smallCaps w:val="0"/>
          <w:color w:val="auto"/>
          <w:sz w:val="24"/>
          <w:szCs w:val="24"/>
        </w:rPr>
        <w:t>2021年2月CPI同比下降0.2%，较上月小幅抬升0.1个百分点</w:t>
      </w:r>
      <w:r>
        <w:rPr>
          <w:rFonts w:ascii="华文楷体" w:hAnsi="华文楷体" w:hint="eastAsia"/>
          <w:b w:val="0"/>
          <w:bCs/>
          <w:smallCaps w:val="0"/>
          <w:color w:val="auto"/>
          <w:sz w:val="24"/>
          <w:szCs w:val="24"/>
        </w:rPr>
        <w:t>；</w:t>
      </w:r>
      <w:r w:rsidRPr="0047533E">
        <w:rPr>
          <w:rFonts w:ascii="华文楷体" w:hAnsi="华文楷体" w:hint="eastAsia"/>
          <w:b w:val="0"/>
          <w:bCs/>
          <w:smallCaps w:val="0"/>
          <w:color w:val="auto"/>
          <w:sz w:val="24"/>
          <w:szCs w:val="24"/>
        </w:rPr>
        <w:t>CPI环比上涨0.6%</w:t>
      </w:r>
      <w:r>
        <w:rPr>
          <w:rFonts w:ascii="华文楷体" w:hAnsi="华文楷体" w:hint="eastAsia"/>
          <w:b w:val="0"/>
          <w:bCs/>
          <w:smallCaps w:val="0"/>
          <w:color w:val="auto"/>
          <w:sz w:val="24"/>
          <w:szCs w:val="24"/>
        </w:rPr>
        <w:t>。</w:t>
      </w:r>
      <w:r w:rsidRPr="0047533E">
        <w:rPr>
          <w:rFonts w:ascii="华文楷体" w:hAnsi="华文楷体" w:hint="eastAsia"/>
          <w:b w:val="0"/>
          <w:bCs/>
          <w:smallCaps w:val="0"/>
          <w:color w:val="auto"/>
          <w:sz w:val="24"/>
          <w:szCs w:val="24"/>
        </w:rPr>
        <w:t>食品项CPI环比上涨1.6%，同比小幅下跌0.2%。非食品项CPI环比上涨0.4%，同比-0.2%。关注后续核心C</w:t>
      </w:r>
      <w:r w:rsidRPr="0047533E">
        <w:rPr>
          <w:rFonts w:ascii="华文楷体" w:hAnsi="华文楷体"/>
          <w:b w:val="0"/>
          <w:bCs/>
          <w:smallCaps w:val="0"/>
          <w:color w:val="auto"/>
          <w:sz w:val="24"/>
          <w:szCs w:val="24"/>
        </w:rPr>
        <w:t>PI</w:t>
      </w:r>
      <w:r w:rsidRPr="0047533E">
        <w:rPr>
          <w:rFonts w:ascii="华文楷体" w:hAnsi="华文楷体" w:hint="eastAsia"/>
          <w:b w:val="0"/>
          <w:bCs/>
          <w:smallCaps w:val="0"/>
          <w:color w:val="auto"/>
          <w:sz w:val="24"/>
          <w:szCs w:val="24"/>
        </w:rPr>
        <w:t>变化表现情况</w:t>
      </w:r>
      <w:r>
        <w:rPr>
          <w:rFonts w:ascii="华文楷体" w:hAnsi="华文楷体" w:hint="eastAsia"/>
          <w:b w:val="0"/>
          <w:bCs/>
          <w:smallCaps w:val="0"/>
          <w:color w:val="auto"/>
          <w:sz w:val="24"/>
          <w:szCs w:val="24"/>
        </w:rPr>
        <w:t>。</w:t>
      </w:r>
    </w:p>
    <w:p w14:paraId="642A2F2A" w14:textId="6DD86C73" w:rsidR="0047533E" w:rsidRPr="0047533E" w:rsidRDefault="0047533E" w:rsidP="00EA42E3">
      <w:pPr>
        <w:pStyle w:val="Header1"/>
        <w:spacing w:before="240"/>
        <w:ind w:firstLine="480"/>
        <w:rPr>
          <w:rFonts w:ascii="华文楷体" w:hAnsi="华文楷体"/>
          <w:b w:val="0"/>
          <w:bCs/>
          <w:smallCaps w:val="0"/>
          <w:color w:val="auto"/>
          <w:sz w:val="24"/>
          <w:szCs w:val="24"/>
        </w:rPr>
      </w:pPr>
      <w:r w:rsidRPr="0047533E">
        <w:rPr>
          <w:rFonts w:ascii="华文楷体" w:hAnsi="华文楷体" w:hint="eastAsia"/>
          <w:b w:val="0"/>
          <w:bCs/>
          <w:smallCaps w:val="0"/>
          <w:color w:val="auto"/>
          <w:sz w:val="24"/>
          <w:szCs w:val="24"/>
        </w:rPr>
        <w:t>2月PPI同比</w:t>
      </w:r>
      <w:r w:rsidR="00DD2EA7">
        <w:rPr>
          <w:rFonts w:ascii="华文楷体" w:hAnsi="华文楷体" w:hint="eastAsia"/>
          <w:b w:val="0"/>
          <w:bCs/>
          <w:smallCaps w:val="0"/>
          <w:color w:val="auto"/>
          <w:sz w:val="24"/>
          <w:szCs w:val="24"/>
        </w:rPr>
        <w:t>上涨</w:t>
      </w:r>
      <w:r w:rsidRPr="0047533E">
        <w:rPr>
          <w:rFonts w:ascii="华文楷体" w:hAnsi="华文楷体" w:hint="eastAsia"/>
          <w:b w:val="0"/>
          <w:bCs/>
          <w:smallCaps w:val="0"/>
          <w:color w:val="auto"/>
          <w:sz w:val="24"/>
          <w:szCs w:val="24"/>
        </w:rPr>
        <w:t>1.7%，环比</w:t>
      </w:r>
      <w:r w:rsidR="00DD2EA7">
        <w:rPr>
          <w:rFonts w:ascii="华文楷体" w:hAnsi="华文楷体" w:hint="eastAsia"/>
          <w:b w:val="0"/>
          <w:bCs/>
          <w:smallCaps w:val="0"/>
          <w:color w:val="auto"/>
          <w:sz w:val="24"/>
          <w:szCs w:val="24"/>
        </w:rPr>
        <w:t>上涨</w:t>
      </w:r>
      <w:r w:rsidRPr="0047533E">
        <w:rPr>
          <w:rFonts w:ascii="华文楷体" w:hAnsi="华文楷体" w:hint="eastAsia"/>
          <w:b w:val="0"/>
          <w:bCs/>
          <w:smallCaps w:val="0"/>
          <w:color w:val="auto"/>
          <w:sz w:val="24"/>
          <w:szCs w:val="24"/>
        </w:rPr>
        <w:t>0.8%。生产资料价格同比上涨0.5%，环比</w:t>
      </w:r>
      <w:r w:rsidR="00DD2EA7">
        <w:rPr>
          <w:rFonts w:ascii="华文楷体" w:hAnsi="华文楷体" w:hint="eastAsia"/>
          <w:b w:val="0"/>
          <w:bCs/>
          <w:smallCaps w:val="0"/>
          <w:color w:val="auto"/>
          <w:sz w:val="24"/>
          <w:szCs w:val="24"/>
        </w:rPr>
        <w:t>上涨</w:t>
      </w:r>
      <w:r w:rsidRPr="0047533E">
        <w:rPr>
          <w:rFonts w:ascii="华文楷体" w:hAnsi="华文楷体" w:hint="eastAsia"/>
          <w:b w:val="0"/>
          <w:bCs/>
          <w:smallCaps w:val="0"/>
          <w:color w:val="auto"/>
          <w:sz w:val="24"/>
          <w:szCs w:val="24"/>
        </w:rPr>
        <w:t>1.2%；生活资料价格同比持平于至-0.2%，环比无涨跌</w:t>
      </w:r>
      <w:r>
        <w:rPr>
          <w:rFonts w:ascii="华文楷体" w:hAnsi="华文楷体" w:hint="eastAsia"/>
          <w:b w:val="0"/>
          <w:bCs/>
          <w:smallCaps w:val="0"/>
          <w:color w:val="auto"/>
          <w:sz w:val="24"/>
          <w:szCs w:val="24"/>
        </w:rPr>
        <w:t>。</w:t>
      </w:r>
      <w:r w:rsidR="00DD2EA7">
        <w:rPr>
          <w:rFonts w:ascii="华文楷体" w:hAnsi="华文楷体" w:hint="eastAsia"/>
          <w:b w:val="0"/>
          <w:bCs/>
          <w:smallCaps w:val="0"/>
          <w:color w:val="auto"/>
          <w:sz w:val="24"/>
          <w:szCs w:val="24"/>
        </w:rPr>
        <w:t>从</w:t>
      </w:r>
      <w:r w:rsidRPr="0047533E">
        <w:rPr>
          <w:rFonts w:ascii="华文楷体" w:hAnsi="华文楷体" w:hint="eastAsia"/>
          <w:b w:val="0"/>
          <w:bCs/>
          <w:smallCaps w:val="0"/>
          <w:color w:val="auto"/>
          <w:sz w:val="24"/>
          <w:szCs w:val="24"/>
        </w:rPr>
        <w:t>上涨幅度看，同比涨幅靠前的是黑色金属矿采选（29.4%）、黑色金属冶炼（14.1%）、有色金属矿采选（12.1%）、煤炭开采和洗选（10.9%）、有色金属冶炼（9.7%）。环比涨幅靠前的是石油和天然气开采（7.5%）、黑色金属矿采选（5.9%）、石油加工（4.9%）、化学纤维制造业（3.6%）、黑色金属冶炼（2.3%）。</w:t>
      </w:r>
    </w:p>
    <w:p w14:paraId="0E2AD08C" w14:textId="75C8E07F" w:rsidR="0047533E" w:rsidRPr="0047533E" w:rsidRDefault="0047533E" w:rsidP="0047533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分析数据来看，</w:t>
      </w:r>
      <w:r w:rsidRPr="0047533E">
        <w:rPr>
          <w:rFonts w:ascii="华文楷体" w:hAnsi="华文楷体" w:hint="eastAsia"/>
          <w:b w:val="0"/>
          <w:bCs/>
          <w:smallCaps w:val="0"/>
          <w:color w:val="auto"/>
          <w:sz w:val="24"/>
          <w:szCs w:val="24"/>
        </w:rPr>
        <w:t>2月CPI同比-0.2%，较上月小幅回升0.1个百分点，环比0.6%。PPI同比1.7%，涨幅较上月扩大1.4个百分点，环比增速0.8%。</w:t>
      </w:r>
      <w:r>
        <w:rPr>
          <w:rFonts w:ascii="华文楷体" w:hAnsi="华文楷体" w:hint="eastAsia"/>
          <w:b w:val="0"/>
          <w:bCs/>
          <w:smallCaps w:val="0"/>
          <w:color w:val="auto"/>
          <w:sz w:val="24"/>
          <w:szCs w:val="24"/>
        </w:rPr>
        <w:t>基本与市场</w:t>
      </w:r>
      <w:r w:rsidRPr="0047533E">
        <w:rPr>
          <w:rFonts w:ascii="华文楷体" w:hAnsi="华文楷体" w:hint="eastAsia"/>
          <w:b w:val="0"/>
          <w:bCs/>
          <w:smallCaps w:val="0"/>
          <w:color w:val="auto"/>
          <w:sz w:val="24"/>
          <w:szCs w:val="24"/>
        </w:rPr>
        <w:t>预期</w:t>
      </w:r>
      <w:r>
        <w:rPr>
          <w:rFonts w:ascii="华文楷体" w:hAnsi="华文楷体" w:hint="eastAsia"/>
          <w:b w:val="0"/>
          <w:bCs/>
          <w:smallCaps w:val="0"/>
          <w:color w:val="auto"/>
          <w:sz w:val="24"/>
          <w:szCs w:val="24"/>
        </w:rPr>
        <w:t>方向相当</w:t>
      </w:r>
      <w:r w:rsidRPr="0047533E">
        <w:rPr>
          <w:rFonts w:ascii="华文楷体" w:hAnsi="华文楷体" w:hint="eastAsia"/>
          <w:b w:val="0"/>
          <w:bCs/>
          <w:smallCaps w:val="0"/>
          <w:color w:val="auto"/>
          <w:sz w:val="24"/>
          <w:szCs w:val="24"/>
        </w:rPr>
        <w:t>，CPI继续受高基数</w:t>
      </w:r>
      <w:r>
        <w:rPr>
          <w:rFonts w:ascii="华文楷体" w:hAnsi="华文楷体" w:hint="eastAsia"/>
          <w:b w:val="0"/>
          <w:bCs/>
          <w:smallCaps w:val="0"/>
          <w:color w:val="auto"/>
          <w:sz w:val="24"/>
          <w:szCs w:val="24"/>
        </w:rPr>
        <w:t>以及负翘尾因素影响</w:t>
      </w:r>
      <w:r w:rsidRPr="0047533E">
        <w:rPr>
          <w:rFonts w:ascii="华文楷体" w:hAnsi="华文楷体" w:hint="eastAsia"/>
          <w:b w:val="0"/>
          <w:bCs/>
          <w:smallCaps w:val="0"/>
          <w:color w:val="auto"/>
          <w:sz w:val="24"/>
          <w:szCs w:val="24"/>
        </w:rPr>
        <w:t>，核心CPI止跌、本月同比持平，PPI</w:t>
      </w:r>
      <w:r>
        <w:rPr>
          <w:rFonts w:ascii="华文楷体" w:hAnsi="华文楷体" w:hint="eastAsia"/>
          <w:b w:val="0"/>
          <w:bCs/>
          <w:smallCaps w:val="0"/>
          <w:color w:val="auto"/>
          <w:sz w:val="24"/>
          <w:szCs w:val="24"/>
        </w:rPr>
        <w:t>主要受近期</w:t>
      </w:r>
      <w:r w:rsidRPr="0047533E">
        <w:rPr>
          <w:rFonts w:ascii="华文楷体" w:hAnsi="华文楷体" w:hint="eastAsia"/>
          <w:b w:val="0"/>
          <w:bCs/>
          <w:smallCaps w:val="0"/>
          <w:color w:val="auto"/>
          <w:sz w:val="24"/>
          <w:szCs w:val="24"/>
        </w:rPr>
        <w:t>大宗商品带动快速上行。</w:t>
      </w:r>
    </w:p>
    <w:p w14:paraId="0296CFE0" w14:textId="5199D5C6" w:rsidR="0047533E" w:rsidRPr="0047533E" w:rsidRDefault="0047533E" w:rsidP="0047533E">
      <w:pPr>
        <w:pStyle w:val="Header1"/>
        <w:spacing w:before="240"/>
        <w:ind w:firstLine="480"/>
        <w:rPr>
          <w:rFonts w:ascii="华文楷体" w:hAnsi="华文楷体"/>
          <w:b w:val="0"/>
          <w:bCs/>
          <w:smallCaps w:val="0"/>
          <w:color w:val="auto"/>
          <w:sz w:val="24"/>
          <w:szCs w:val="24"/>
        </w:rPr>
      </w:pPr>
      <w:r w:rsidRPr="0047533E">
        <w:rPr>
          <w:rFonts w:ascii="华文楷体" w:hAnsi="华文楷体" w:hint="eastAsia"/>
          <w:b w:val="0"/>
          <w:bCs/>
          <w:smallCaps w:val="0"/>
          <w:color w:val="auto"/>
          <w:sz w:val="24"/>
          <w:szCs w:val="24"/>
        </w:rPr>
        <w:t> </w:t>
      </w:r>
      <w:r>
        <w:rPr>
          <w:rFonts w:ascii="华文楷体" w:hAnsi="华文楷体" w:hint="eastAsia"/>
          <w:b w:val="0"/>
          <w:bCs/>
          <w:smallCaps w:val="0"/>
          <w:color w:val="auto"/>
          <w:sz w:val="24"/>
          <w:szCs w:val="24"/>
        </w:rPr>
        <w:t>其中，</w:t>
      </w:r>
      <w:r w:rsidRPr="0047533E">
        <w:rPr>
          <w:rFonts w:ascii="华文楷体" w:hAnsi="华文楷体" w:hint="eastAsia"/>
          <w:b w:val="0"/>
          <w:bCs/>
          <w:smallCaps w:val="0"/>
          <w:color w:val="auto"/>
          <w:sz w:val="24"/>
          <w:szCs w:val="24"/>
        </w:rPr>
        <w:t>2月CPI</w:t>
      </w:r>
      <w:proofErr w:type="gramStart"/>
      <w:r w:rsidRPr="0047533E">
        <w:rPr>
          <w:rFonts w:ascii="华文楷体" w:hAnsi="华文楷体" w:hint="eastAsia"/>
          <w:b w:val="0"/>
          <w:bCs/>
          <w:smallCaps w:val="0"/>
          <w:color w:val="auto"/>
          <w:sz w:val="24"/>
          <w:szCs w:val="24"/>
        </w:rPr>
        <w:t>食品环</w:t>
      </w:r>
      <w:proofErr w:type="gramEnd"/>
      <w:r w:rsidRPr="0047533E">
        <w:rPr>
          <w:rFonts w:ascii="华文楷体" w:hAnsi="华文楷体" w:hint="eastAsia"/>
          <w:b w:val="0"/>
          <w:bCs/>
          <w:smallCaps w:val="0"/>
          <w:color w:val="auto"/>
          <w:sz w:val="24"/>
          <w:szCs w:val="24"/>
        </w:rPr>
        <w:t>比上涨1.6%，</w:t>
      </w:r>
      <w:r>
        <w:rPr>
          <w:rFonts w:ascii="华文楷体" w:hAnsi="华文楷体" w:hint="eastAsia"/>
          <w:b w:val="0"/>
          <w:bCs/>
          <w:smallCaps w:val="0"/>
          <w:color w:val="auto"/>
          <w:sz w:val="24"/>
          <w:szCs w:val="24"/>
        </w:rPr>
        <w:t>适度</w:t>
      </w:r>
      <w:r w:rsidRPr="0047533E">
        <w:rPr>
          <w:rFonts w:ascii="华文楷体" w:hAnsi="华文楷体" w:hint="eastAsia"/>
          <w:b w:val="0"/>
          <w:bCs/>
          <w:smallCaps w:val="0"/>
          <w:color w:val="auto"/>
          <w:sz w:val="24"/>
          <w:szCs w:val="24"/>
        </w:rPr>
        <w:t>低于往年水平，其中出栏增加、猪肉价格下跌是重要拖累。非</w:t>
      </w:r>
      <w:proofErr w:type="gramStart"/>
      <w:r w:rsidRPr="0047533E">
        <w:rPr>
          <w:rFonts w:ascii="华文楷体" w:hAnsi="华文楷体" w:hint="eastAsia"/>
          <w:b w:val="0"/>
          <w:bCs/>
          <w:smallCaps w:val="0"/>
          <w:color w:val="auto"/>
          <w:sz w:val="24"/>
          <w:szCs w:val="24"/>
        </w:rPr>
        <w:t>食品环</w:t>
      </w:r>
      <w:proofErr w:type="gramEnd"/>
      <w:r w:rsidRPr="0047533E">
        <w:rPr>
          <w:rFonts w:ascii="华文楷体" w:hAnsi="华文楷体" w:hint="eastAsia"/>
          <w:b w:val="0"/>
          <w:bCs/>
          <w:smallCaps w:val="0"/>
          <w:color w:val="auto"/>
          <w:sz w:val="24"/>
          <w:szCs w:val="24"/>
        </w:rPr>
        <w:t>比涨幅基本和往年接近，其中</w:t>
      </w:r>
      <w:r>
        <w:rPr>
          <w:rFonts w:ascii="华文楷体" w:hAnsi="华文楷体" w:hint="eastAsia"/>
          <w:b w:val="0"/>
          <w:bCs/>
          <w:smallCaps w:val="0"/>
          <w:color w:val="auto"/>
          <w:sz w:val="24"/>
          <w:szCs w:val="24"/>
        </w:rPr>
        <w:t>部分行业</w:t>
      </w:r>
      <w:r w:rsidRPr="0047533E">
        <w:rPr>
          <w:rFonts w:ascii="华文楷体" w:hAnsi="华文楷体" w:hint="eastAsia"/>
          <w:b w:val="0"/>
          <w:bCs/>
          <w:smallCaps w:val="0"/>
          <w:color w:val="auto"/>
          <w:sz w:val="24"/>
          <w:szCs w:val="24"/>
        </w:rPr>
        <w:t>受国际油价影响涨幅较大。值得关注的是，核心CPI环比涨幅弱于往年水平，</w:t>
      </w:r>
      <w:r>
        <w:rPr>
          <w:rFonts w:ascii="华文楷体" w:hAnsi="华文楷体" w:hint="eastAsia"/>
          <w:b w:val="0"/>
          <w:bCs/>
          <w:smallCaps w:val="0"/>
          <w:color w:val="auto"/>
          <w:sz w:val="24"/>
          <w:szCs w:val="24"/>
        </w:rPr>
        <w:t>后续更多关注核心C</w:t>
      </w:r>
      <w:r>
        <w:rPr>
          <w:rFonts w:ascii="华文楷体" w:hAnsi="华文楷体"/>
          <w:b w:val="0"/>
          <w:bCs/>
          <w:smallCaps w:val="0"/>
          <w:color w:val="auto"/>
          <w:sz w:val="24"/>
          <w:szCs w:val="24"/>
        </w:rPr>
        <w:t>PI</w:t>
      </w:r>
      <w:r>
        <w:rPr>
          <w:rFonts w:ascii="华文楷体" w:hAnsi="华文楷体" w:hint="eastAsia"/>
          <w:b w:val="0"/>
          <w:bCs/>
          <w:smallCaps w:val="0"/>
          <w:color w:val="auto"/>
          <w:sz w:val="24"/>
          <w:szCs w:val="24"/>
        </w:rPr>
        <w:t>变化情况</w:t>
      </w:r>
      <w:r w:rsidRPr="0047533E">
        <w:rPr>
          <w:rFonts w:ascii="华文楷体" w:hAnsi="华文楷体" w:hint="eastAsia"/>
          <w:b w:val="0"/>
          <w:bCs/>
          <w:smallCaps w:val="0"/>
          <w:color w:val="auto"/>
          <w:sz w:val="24"/>
          <w:szCs w:val="24"/>
        </w:rPr>
        <w:t>。</w:t>
      </w:r>
    </w:p>
    <w:p w14:paraId="1D018AEB" w14:textId="4FC0285F" w:rsidR="0047533E" w:rsidRPr="0047533E" w:rsidRDefault="0047533E" w:rsidP="0047533E">
      <w:pPr>
        <w:pStyle w:val="Header1"/>
        <w:spacing w:before="240"/>
        <w:ind w:firstLine="480"/>
        <w:rPr>
          <w:rFonts w:ascii="华文楷体" w:hAnsi="华文楷体"/>
          <w:b w:val="0"/>
          <w:bCs/>
          <w:smallCaps w:val="0"/>
          <w:color w:val="auto"/>
          <w:sz w:val="24"/>
          <w:szCs w:val="24"/>
        </w:rPr>
      </w:pPr>
      <w:r w:rsidRPr="0047533E">
        <w:rPr>
          <w:rFonts w:ascii="华文楷体" w:hAnsi="华文楷体" w:hint="eastAsia"/>
          <w:b w:val="0"/>
          <w:bCs/>
          <w:smallCaps w:val="0"/>
          <w:color w:val="auto"/>
          <w:sz w:val="24"/>
          <w:szCs w:val="24"/>
        </w:rPr>
        <w:t> 2月PPI中，生产资料价格上涨2.3%，涨幅扩大1.8个百分点；生活资料价格下降0.2%，降幅与上月相同。</w:t>
      </w:r>
      <w:r w:rsidR="00DD2EA7">
        <w:rPr>
          <w:rFonts w:ascii="华文楷体" w:hAnsi="华文楷体" w:hint="eastAsia"/>
          <w:b w:val="0"/>
          <w:bCs/>
          <w:smallCaps w:val="0"/>
          <w:color w:val="auto"/>
          <w:sz w:val="24"/>
          <w:szCs w:val="24"/>
        </w:rPr>
        <w:t>以</w:t>
      </w:r>
      <w:r w:rsidRPr="0047533E">
        <w:rPr>
          <w:rFonts w:ascii="华文楷体" w:hAnsi="华文楷体" w:hint="eastAsia"/>
          <w:b w:val="0"/>
          <w:bCs/>
          <w:smallCaps w:val="0"/>
          <w:color w:val="auto"/>
          <w:sz w:val="24"/>
          <w:szCs w:val="24"/>
        </w:rPr>
        <w:t>原油为代表的大宗商品整体继续上涨，采掘工业和原材料工业同比涨幅明显扩大。加工工业、生活资料同比增速恢复节奏整体偏慢。</w:t>
      </w:r>
    </w:p>
    <w:p w14:paraId="78D8A1F2" w14:textId="5596EF2E" w:rsidR="0047533E" w:rsidRPr="0047533E" w:rsidRDefault="0047533E" w:rsidP="0047533E">
      <w:pPr>
        <w:pStyle w:val="Header1"/>
        <w:spacing w:before="240"/>
        <w:ind w:firstLine="480"/>
        <w:rPr>
          <w:rFonts w:ascii="华文楷体" w:hAnsi="华文楷体"/>
          <w:b w:val="0"/>
          <w:bCs/>
          <w:smallCaps w:val="0"/>
          <w:color w:val="auto"/>
          <w:sz w:val="24"/>
          <w:szCs w:val="24"/>
        </w:rPr>
      </w:pPr>
      <w:r w:rsidRPr="0047533E">
        <w:rPr>
          <w:rFonts w:ascii="华文楷体" w:hAnsi="华文楷体" w:hint="eastAsia"/>
          <w:b w:val="0"/>
          <w:bCs/>
          <w:smallCaps w:val="0"/>
          <w:color w:val="auto"/>
          <w:sz w:val="24"/>
          <w:szCs w:val="24"/>
        </w:rPr>
        <w:t> 分行业来看，同比增速改善最多的主要是石油、黑色、有色、化工等大宗商品相关行业，工业制成品价格上行幅度不大，同比增速继续维持在负区间。</w:t>
      </w:r>
    </w:p>
    <w:p w14:paraId="6EEDB1E1" w14:textId="7FF827A5" w:rsidR="0047533E" w:rsidRPr="0047533E" w:rsidRDefault="0047533E" w:rsidP="00167EF4">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综合来看，</w:t>
      </w:r>
      <w:r w:rsidRPr="0047533E">
        <w:rPr>
          <w:rFonts w:ascii="华文楷体" w:hAnsi="华文楷体" w:hint="eastAsia"/>
          <w:b w:val="0"/>
          <w:bCs/>
          <w:smallCaps w:val="0"/>
          <w:color w:val="auto"/>
          <w:sz w:val="24"/>
          <w:szCs w:val="24"/>
        </w:rPr>
        <w:t>CPI</w:t>
      </w:r>
      <w:r>
        <w:rPr>
          <w:rFonts w:ascii="华文楷体" w:hAnsi="华文楷体" w:hint="eastAsia"/>
          <w:b w:val="0"/>
          <w:bCs/>
          <w:smallCaps w:val="0"/>
          <w:color w:val="auto"/>
          <w:sz w:val="24"/>
          <w:szCs w:val="24"/>
        </w:rPr>
        <w:t>在</w:t>
      </w:r>
      <w:proofErr w:type="gramStart"/>
      <w:r w:rsidRPr="0047533E">
        <w:rPr>
          <w:rFonts w:ascii="华文楷体" w:hAnsi="华文楷体" w:hint="eastAsia"/>
          <w:b w:val="0"/>
          <w:bCs/>
          <w:smallCaps w:val="0"/>
          <w:color w:val="auto"/>
          <w:sz w:val="24"/>
          <w:szCs w:val="24"/>
        </w:rPr>
        <w:t>一季度</w:t>
      </w:r>
      <w:r>
        <w:rPr>
          <w:rFonts w:ascii="华文楷体" w:hAnsi="华文楷体" w:hint="eastAsia"/>
          <w:b w:val="0"/>
          <w:bCs/>
          <w:smallCaps w:val="0"/>
          <w:color w:val="auto"/>
          <w:sz w:val="24"/>
          <w:szCs w:val="24"/>
        </w:rPr>
        <w:t>受</w:t>
      </w:r>
      <w:r w:rsidRPr="0047533E">
        <w:rPr>
          <w:rFonts w:ascii="华文楷体" w:hAnsi="华文楷体" w:hint="eastAsia"/>
          <w:b w:val="0"/>
          <w:bCs/>
          <w:smallCaps w:val="0"/>
          <w:color w:val="auto"/>
          <w:sz w:val="24"/>
          <w:szCs w:val="24"/>
        </w:rPr>
        <w:t>负翘尾</w:t>
      </w:r>
      <w:proofErr w:type="gramEnd"/>
      <w:r w:rsidRPr="0047533E">
        <w:rPr>
          <w:rFonts w:ascii="华文楷体" w:hAnsi="华文楷体" w:hint="eastAsia"/>
          <w:b w:val="0"/>
          <w:bCs/>
          <w:smallCaps w:val="0"/>
          <w:color w:val="auto"/>
          <w:sz w:val="24"/>
          <w:szCs w:val="24"/>
        </w:rPr>
        <w:t>因素影响应该</w:t>
      </w:r>
      <w:r>
        <w:rPr>
          <w:rFonts w:ascii="华文楷体" w:hAnsi="华文楷体" w:hint="eastAsia"/>
          <w:b w:val="0"/>
          <w:bCs/>
          <w:smallCaps w:val="0"/>
          <w:color w:val="auto"/>
          <w:sz w:val="24"/>
          <w:szCs w:val="24"/>
        </w:rPr>
        <w:t>维持相对平稳</w:t>
      </w:r>
      <w:r w:rsidRPr="0047533E">
        <w:rPr>
          <w:rFonts w:ascii="华文楷体" w:hAnsi="华文楷体" w:hint="eastAsia"/>
          <w:b w:val="0"/>
          <w:bCs/>
          <w:smallCaps w:val="0"/>
          <w:color w:val="auto"/>
          <w:sz w:val="24"/>
          <w:szCs w:val="24"/>
        </w:rPr>
        <w:t>，剔除翘尾和一些基数因素考虑今年一季度和去年一季度同比基本相当，猪肉价格</w:t>
      </w:r>
      <w:r w:rsidR="00167EF4">
        <w:rPr>
          <w:rFonts w:ascii="华文楷体" w:hAnsi="华文楷体" w:hint="eastAsia"/>
          <w:b w:val="0"/>
          <w:bCs/>
          <w:smallCaps w:val="0"/>
          <w:color w:val="auto"/>
          <w:sz w:val="24"/>
          <w:szCs w:val="24"/>
        </w:rPr>
        <w:t>预计</w:t>
      </w:r>
      <w:r w:rsidRPr="0047533E">
        <w:rPr>
          <w:rFonts w:ascii="华文楷体" w:hAnsi="华文楷体" w:hint="eastAsia"/>
          <w:b w:val="0"/>
          <w:bCs/>
          <w:smallCaps w:val="0"/>
          <w:color w:val="auto"/>
          <w:sz w:val="24"/>
          <w:szCs w:val="24"/>
        </w:rPr>
        <w:t>供给高点在二季度，</w:t>
      </w:r>
      <w:r w:rsidR="00F26897">
        <w:rPr>
          <w:rFonts w:ascii="华文楷体" w:hAnsi="华文楷体" w:hint="eastAsia"/>
          <w:b w:val="0"/>
          <w:bCs/>
          <w:smallCaps w:val="0"/>
          <w:color w:val="auto"/>
          <w:sz w:val="24"/>
          <w:szCs w:val="24"/>
        </w:rPr>
        <w:t>从食品</w:t>
      </w:r>
      <w:proofErr w:type="gramStart"/>
      <w:r w:rsidR="00F26897">
        <w:rPr>
          <w:rFonts w:ascii="华文楷体" w:hAnsi="华文楷体" w:hint="eastAsia"/>
          <w:b w:val="0"/>
          <w:bCs/>
          <w:smallCaps w:val="0"/>
          <w:color w:val="auto"/>
          <w:sz w:val="24"/>
          <w:szCs w:val="24"/>
        </w:rPr>
        <w:t>项</w:t>
      </w:r>
      <w:r w:rsidR="00167EF4">
        <w:rPr>
          <w:rFonts w:ascii="华文楷体" w:hAnsi="华文楷体" w:hint="eastAsia"/>
          <w:b w:val="0"/>
          <w:bCs/>
          <w:smallCaps w:val="0"/>
          <w:color w:val="auto"/>
          <w:sz w:val="24"/>
          <w:szCs w:val="24"/>
        </w:rPr>
        <w:t>来看</w:t>
      </w:r>
      <w:proofErr w:type="spellStart"/>
      <w:proofErr w:type="gramEnd"/>
      <w:r w:rsidR="00167EF4">
        <w:rPr>
          <w:rFonts w:ascii="华文楷体" w:hAnsi="华文楷体" w:hint="eastAsia"/>
          <w:b w:val="0"/>
          <w:bCs/>
          <w:smallCaps w:val="0"/>
          <w:color w:val="auto"/>
          <w:sz w:val="24"/>
          <w:szCs w:val="24"/>
        </w:rPr>
        <w:t>C</w:t>
      </w:r>
      <w:r w:rsidR="00167EF4">
        <w:rPr>
          <w:rFonts w:ascii="华文楷体" w:hAnsi="华文楷体"/>
          <w:b w:val="0"/>
          <w:bCs/>
          <w:smallCaps w:val="0"/>
          <w:color w:val="auto"/>
          <w:sz w:val="24"/>
          <w:szCs w:val="24"/>
        </w:rPr>
        <w:t>PI</w:t>
      </w:r>
      <w:proofErr w:type="spellEnd"/>
      <w:r w:rsidR="00167EF4">
        <w:rPr>
          <w:rFonts w:ascii="华文楷体" w:hAnsi="华文楷体" w:hint="eastAsia"/>
          <w:b w:val="0"/>
          <w:bCs/>
          <w:smallCaps w:val="0"/>
          <w:color w:val="auto"/>
          <w:sz w:val="24"/>
          <w:szCs w:val="24"/>
        </w:rPr>
        <w:t>压力可控，更多关注后续核心C</w:t>
      </w:r>
      <w:r w:rsidR="00167EF4">
        <w:rPr>
          <w:rFonts w:ascii="华文楷体" w:hAnsi="华文楷体"/>
          <w:b w:val="0"/>
          <w:bCs/>
          <w:smallCaps w:val="0"/>
          <w:color w:val="auto"/>
          <w:sz w:val="24"/>
          <w:szCs w:val="24"/>
        </w:rPr>
        <w:t>PI</w:t>
      </w:r>
      <w:r w:rsidR="00167EF4">
        <w:rPr>
          <w:rFonts w:ascii="华文楷体" w:hAnsi="华文楷体" w:hint="eastAsia"/>
          <w:b w:val="0"/>
          <w:bCs/>
          <w:smallCaps w:val="0"/>
          <w:color w:val="auto"/>
          <w:sz w:val="24"/>
          <w:szCs w:val="24"/>
        </w:rPr>
        <w:t>表现情况</w:t>
      </w:r>
      <w:r w:rsidR="00F26897">
        <w:rPr>
          <w:rFonts w:ascii="华文楷体" w:hAnsi="华文楷体" w:hint="eastAsia"/>
          <w:b w:val="0"/>
          <w:bCs/>
          <w:smallCaps w:val="0"/>
          <w:color w:val="auto"/>
          <w:sz w:val="24"/>
          <w:szCs w:val="24"/>
        </w:rPr>
        <w:t>。</w:t>
      </w:r>
      <w:r w:rsidRPr="0047533E">
        <w:rPr>
          <w:rFonts w:ascii="华文楷体" w:hAnsi="华文楷体" w:hint="eastAsia"/>
          <w:b w:val="0"/>
          <w:bCs/>
          <w:smallCaps w:val="0"/>
          <w:color w:val="auto"/>
          <w:sz w:val="24"/>
          <w:szCs w:val="24"/>
        </w:rPr>
        <w:t>今年还调整了CPI</w:t>
      </w:r>
      <w:r w:rsidR="00167EF4">
        <w:rPr>
          <w:rFonts w:ascii="华文楷体" w:hAnsi="华文楷体" w:hint="eastAsia"/>
          <w:b w:val="0"/>
          <w:bCs/>
          <w:smallCaps w:val="0"/>
          <w:color w:val="auto"/>
          <w:sz w:val="24"/>
          <w:szCs w:val="24"/>
        </w:rPr>
        <w:t>中分项</w:t>
      </w:r>
      <w:r w:rsidRPr="0047533E">
        <w:rPr>
          <w:rFonts w:ascii="华文楷体" w:hAnsi="华文楷体" w:hint="eastAsia"/>
          <w:b w:val="0"/>
          <w:bCs/>
          <w:smallCaps w:val="0"/>
          <w:color w:val="auto"/>
          <w:sz w:val="24"/>
          <w:szCs w:val="24"/>
        </w:rPr>
        <w:t>权重，核心通胀中重点关注居住类和服务类</w:t>
      </w:r>
      <w:r w:rsidR="00167EF4">
        <w:rPr>
          <w:rFonts w:ascii="华文楷体" w:hAnsi="华文楷体" w:hint="eastAsia"/>
          <w:b w:val="0"/>
          <w:bCs/>
          <w:smallCaps w:val="0"/>
          <w:color w:val="auto"/>
          <w:sz w:val="24"/>
          <w:szCs w:val="24"/>
        </w:rPr>
        <w:t>后续表现情况。</w:t>
      </w:r>
    </w:p>
    <w:p w14:paraId="08341563" w14:textId="38B61A81" w:rsidR="00F01277" w:rsidRDefault="0047533E" w:rsidP="0047533E">
      <w:pPr>
        <w:pStyle w:val="Header1"/>
        <w:spacing w:before="240"/>
        <w:ind w:firstLine="480"/>
        <w:rPr>
          <w:rFonts w:ascii="华文楷体" w:hAnsi="华文楷体"/>
          <w:b w:val="0"/>
          <w:bCs/>
          <w:smallCaps w:val="0"/>
          <w:color w:val="auto"/>
          <w:sz w:val="24"/>
          <w:szCs w:val="24"/>
        </w:rPr>
      </w:pPr>
      <w:r w:rsidRPr="0047533E">
        <w:rPr>
          <w:rFonts w:ascii="华文楷体" w:hAnsi="华文楷体" w:hint="eastAsia"/>
          <w:b w:val="0"/>
          <w:bCs/>
          <w:smallCaps w:val="0"/>
          <w:color w:val="auto"/>
          <w:sz w:val="24"/>
          <w:szCs w:val="24"/>
        </w:rPr>
        <w:t>PPI</w:t>
      </w:r>
      <w:r w:rsidR="00167EF4">
        <w:rPr>
          <w:rFonts w:ascii="华文楷体" w:hAnsi="华文楷体" w:hint="eastAsia"/>
          <w:b w:val="0"/>
          <w:bCs/>
          <w:smallCaps w:val="0"/>
          <w:color w:val="auto"/>
          <w:sz w:val="24"/>
          <w:szCs w:val="24"/>
        </w:rPr>
        <w:t>预计在年中</w:t>
      </w:r>
      <w:r w:rsidRPr="0047533E">
        <w:rPr>
          <w:rFonts w:ascii="华文楷体" w:hAnsi="华文楷体" w:hint="eastAsia"/>
          <w:b w:val="0"/>
          <w:bCs/>
          <w:smallCaps w:val="0"/>
          <w:color w:val="auto"/>
          <w:sz w:val="24"/>
          <w:szCs w:val="24"/>
        </w:rPr>
        <w:t>2、3季度</w:t>
      </w:r>
      <w:r w:rsidR="00167EF4">
        <w:rPr>
          <w:rFonts w:ascii="华文楷体" w:hAnsi="华文楷体" w:hint="eastAsia"/>
          <w:b w:val="0"/>
          <w:bCs/>
          <w:smallCaps w:val="0"/>
          <w:color w:val="auto"/>
          <w:sz w:val="24"/>
          <w:szCs w:val="24"/>
        </w:rPr>
        <w:t>出现年内阶段性</w:t>
      </w:r>
      <w:r w:rsidRPr="0047533E">
        <w:rPr>
          <w:rFonts w:ascii="华文楷体" w:hAnsi="华文楷体" w:hint="eastAsia"/>
          <w:b w:val="0"/>
          <w:bCs/>
          <w:smallCaps w:val="0"/>
          <w:color w:val="auto"/>
          <w:sz w:val="24"/>
          <w:szCs w:val="24"/>
        </w:rPr>
        <w:t>高点，</w:t>
      </w:r>
      <w:r w:rsidR="00337365">
        <w:rPr>
          <w:rFonts w:ascii="华文楷体" w:hAnsi="华文楷体" w:hint="eastAsia"/>
          <w:b w:val="0"/>
          <w:bCs/>
          <w:smallCaps w:val="0"/>
          <w:color w:val="auto"/>
          <w:sz w:val="24"/>
          <w:szCs w:val="24"/>
        </w:rPr>
        <w:t>后续</w:t>
      </w:r>
      <w:r w:rsidRPr="0047533E">
        <w:rPr>
          <w:rFonts w:ascii="华文楷体" w:hAnsi="华文楷体" w:hint="eastAsia"/>
          <w:b w:val="0"/>
          <w:bCs/>
          <w:smallCaps w:val="0"/>
          <w:color w:val="auto"/>
          <w:sz w:val="24"/>
          <w:szCs w:val="24"/>
        </w:rPr>
        <w:t>大宗商品表现波动可能</w:t>
      </w:r>
      <w:r w:rsidR="00337365">
        <w:rPr>
          <w:rFonts w:ascii="华文楷体" w:hAnsi="华文楷体" w:hint="eastAsia"/>
          <w:b w:val="0"/>
          <w:bCs/>
          <w:smallCaps w:val="0"/>
          <w:color w:val="auto"/>
          <w:sz w:val="24"/>
          <w:szCs w:val="24"/>
        </w:rPr>
        <w:t>有所加</w:t>
      </w:r>
      <w:r w:rsidRPr="0047533E">
        <w:rPr>
          <w:rFonts w:ascii="华文楷体" w:hAnsi="华文楷体" w:hint="eastAsia"/>
          <w:b w:val="0"/>
          <w:bCs/>
          <w:smallCaps w:val="0"/>
          <w:color w:val="auto"/>
          <w:sz w:val="24"/>
          <w:szCs w:val="24"/>
        </w:rPr>
        <w:t>大，关注原油和上游产品包括海外市场</w:t>
      </w:r>
      <w:r w:rsidR="00337365">
        <w:rPr>
          <w:rFonts w:ascii="华文楷体" w:hAnsi="华文楷体" w:hint="eastAsia"/>
          <w:b w:val="0"/>
          <w:bCs/>
          <w:smallCaps w:val="0"/>
          <w:color w:val="auto"/>
          <w:sz w:val="24"/>
          <w:szCs w:val="24"/>
        </w:rPr>
        <w:t>表现情况</w:t>
      </w:r>
      <w:r w:rsidRPr="0047533E">
        <w:rPr>
          <w:rFonts w:ascii="华文楷体" w:hAnsi="华文楷体" w:hint="eastAsia"/>
          <w:b w:val="0"/>
          <w:bCs/>
          <w:smallCaps w:val="0"/>
          <w:color w:val="auto"/>
          <w:sz w:val="24"/>
          <w:szCs w:val="24"/>
        </w:rPr>
        <w:t>，</w:t>
      </w:r>
      <w:r w:rsidR="00337365">
        <w:rPr>
          <w:rFonts w:ascii="华文楷体" w:hAnsi="华文楷体" w:hint="eastAsia"/>
          <w:b w:val="0"/>
          <w:bCs/>
          <w:smallCaps w:val="0"/>
          <w:color w:val="auto"/>
          <w:sz w:val="24"/>
          <w:szCs w:val="24"/>
        </w:rPr>
        <w:t>需求的修复仍需要时间观察，完全恢复到疫情前水平仍需一定时间</w:t>
      </w:r>
      <w:r w:rsidRPr="0047533E">
        <w:rPr>
          <w:rFonts w:ascii="华文楷体" w:hAnsi="华文楷体" w:hint="eastAsia"/>
          <w:b w:val="0"/>
          <w:bCs/>
          <w:smallCaps w:val="0"/>
          <w:color w:val="auto"/>
          <w:sz w:val="24"/>
          <w:szCs w:val="24"/>
        </w:rPr>
        <w:t>。</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lastRenderedPageBreak/>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380163F8"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2D361C">
        <w:rPr>
          <w:rFonts w:ascii="华文楷体" w:hAnsi="华文楷体" w:hint="eastAsia"/>
          <w:sz w:val="24"/>
          <w:szCs w:val="24"/>
          <w:lang w:eastAsia="zh-CN"/>
        </w:rPr>
        <w:t>零投放</w:t>
      </w:r>
      <w:r w:rsidR="006E4B59">
        <w:rPr>
          <w:rFonts w:ascii="华文楷体" w:hAnsi="华文楷体" w:hint="eastAsia"/>
          <w:sz w:val="24"/>
          <w:szCs w:val="24"/>
          <w:lang w:eastAsia="zh-CN"/>
        </w:rPr>
        <w:t>，</w:t>
      </w:r>
      <w:r w:rsidR="003E35B0">
        <w:rPr>
          <w:rFonts w:ascii="华文楷体" w:hAnsi="华文楷体" w:hint="eastAsia"/>
          <w:sz w:val="24"/>
          <w:szCs w:val="24"/>
          <w:lang w:eastAsia="zh-CN"/>
        </w:rPr>
        <w:t>资金</w:t>
      </w:r>
      <w:proofErr w:type="gramStart"/>
      <w:r w:rsidR="003E35B0">
        <w:rPr>
          <w:rFonts w:ascii="华文楷体" w:hAnsi="华文楷体" w:hint="eastAsia"/>
          <w:sz w:val="24"/>
          <w:szCs w:val="24"/>
          <w:lang w:eastAsia="zh-CN"/>
        </w:rPr>
        <w:t>面整体</w:t>
      </w:r>
      <w:proofErr w:type="gramEnd"/>
      <w:r w:rsidR="003E35B0">
        <w:rPr>
          <w:rFonts w:ascii="华文楷体" w:hAnsi="华文楷体" w:hint="eastAsia"/>
          <w:sz w:val="24"/>
          <w:szCs w:val="24"/>
          <w:lang w:eastAsia="zh-CN"/>
        </w:rPr>
        <w:t>相对平稳</w:t>
      </w:r>
      <w:r w:rsidR="002D361C">
        <w:rPr>
          <w:rFonts w:ascii="华文楷体" w:hAnsi="华文楷体" w:hint="eastAsia"/>
          <w:sz w:val="24"/>
          <w:szCs w:val="24"/>
          <w:lang w:eastAsia="zh-CN"/>
        </w:rPr>
        <w:t>，关注月中15号的MLF操作</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2D361C">
        <w:rPr>
          <w:rFonts w:ascii="华文楷体" w:hAnsi="华文楷体" w:hint="eastAsia"/>
          <w:sz w:val="24"/>
          <w:szCs w:val="24"/>
          <w:lang w:eastAsia="zh-CN"/>
        </w:rPr>
        <w:t>上行21BP至1.82</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2D361C">
        <w:rPr>
          <w:rFonts w:ascii="华文楷体" w:hAnsi="华文楷体" w:hint="eastAsia"/>
          <w:sz w:val="24"/>
          <w:szCs w:val="24"/>
          <w:lang w:eastAsia="zh-CN"/>
        </w:rPr>
        <w:t>上</w:t>
      </w:r>
      <w:r w:rsidR="009C77AF">
        <w:rPr>
          <w:rFonts w:ascii="华文楷体" w:hAnsi="华文楷体" w:hint="eastAsia"/>
          <w:sz w:val="24"/>
          <w:szCs w:val="24"/>
          <w:lang w:eastAsia="zh-CN"/>
        </w:rPr>
        <w:t>行</w:t>
      </w:r>
      <w:r w:rsidR="006E4B59">
        <w:rPr>
          <w:rFonts w:ascii="华文楷体" w:hAnsi="华文楷体" w:hint="eastAsia"/>
          <w:sz w:val="24"/>
          <w:szCs w:val="24"/>
          <w:lang w:eastAsia="zh-CN"/>
        </w:rPr>
        <w:t>7</w:t>
      </w:r>
      <w:r w:rsidR="00D9413F">
        <w:rPr>
          <w:rFonts w:ascii="华文楷体" w:hAnsi="华文楷体" w:hint="eastAsia"/>
          <w:sz w:val="24"/>
          <w:szCs w:val="24"/>
          <w:lang w:eastAsia="zh-CN"/>
        </w:rPr>
        <w:t>BP至</w:t>
      </w:r>
      <w:r w:rsidR="006E4B59">
        <w:rPr>
          <w:rFonts w:ascii="华文楷体" w:hAnsi="华文楷体" w:hint="eastAsia"/>
          <w:sz w:val="24"/>
          <w:szCs w:val="24"/>
          <w:lang w:eastAsia="zh-CN"/>
        </w:rPr>
        <w:t>2.0</w:t>
      </w:r>
      <w:r w:rsidR="002D361C">
        <w:rPr>
          <w:rFonts w:ascii="华文楷体" w:hAnsi="华文楷体" w:hint="eastAsia"/>
          <w:sz w:val="24"/>
          <w:szCs w:val="24"/>
          <w:lang w:eastAsia="zh-CN"/>
        </w:rPr>
        <w:t>7</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开盘利率持续稳定</w:t>
      </w:r>
      <w:r w:rsidR="002D361C">
        <w:rPr>
          <w:rFonts w:ascii="华文楷体" w:hAnsi="华文楷体" w:hint="eastAsia"/>
          <w:sz w:val="24"/>
          <w:szCs w:val="24"/>
          <w:lang w:eastAsia="zh-CN"/>
        </w:rPr>
        <w:t>，月初资金面基本维持在政策利率附近持续震荡。</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2D361C">
        <w:tblPrEx>
          <w:tblCellMar>
            <w:left w:w="108" w:type="dxa"/>
            <w:right w:w="108" w:type="dxa"/>
          </w:tblCellMar>
        </w:tblPrEx>
        <w:trPr>
          <w:jc w:val="center"/>
        </w:trPr>
        <w:tc>
          <w:tcPr>
            <w:tcW w:w="4939" w:type="dxa"/>
            <w:vAlign w:val="center"/>
          </w:tcPr>
          <w:p w14:paraId="60AEAEDC" w14:textId="16ABA470" w:rsidR="00E0626C" w:rsidRPr="003C6AC1" w:rsidRDefault="002D361C" w:rsidP="009A2BA0">
            <w:pPr>
              <w:jc w:val="center"/>
              <w:rPr>
                <w:noProof/>
                <w:sz w:val="20"/>
              </w:rPr>
            </w:pPr>
            <w:r>
              <w:rPr>
                <w:noProof/>
              </w:rPr>
              <w:drawing>
                <wp:inline distT="0" distB="0" distL="0" distR="0" wp14:anchorId="51D01209" wp14:editId="71818B8F">
                  <wp:extent cx="2999105" cy="1717523"/>
                  <wp:effectExtent l="0" t="0" r="0" b="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7CB07301" w:rsidR="00E0626C" w:rsidRPr="00F62F43" w:rsidRDefault="002D361C" w:rsidP="009A2BA0">
            <w:pPr>
              <w:jc w:val="center"/>
              <w:rPr>
                <w:noProof/>
                <w:sz w:val="16"/>
                <w:szCs w:val="18"/>
              </w:rPr>
            </w:pPr>
            <w:r>
              <w:rPr>
                <w:noProof/>
              </w:rPr>
              <w:drawing>
                <wp:inline distT="0" distB="0" distL="0" distR="0" wp14:anchorId="1838EA7F" wp14:editId="189E7D3D">
                  <wp:extent cx="3063922" cy="1728470"/>
                  <wp:effectExtent l="0" t="0" r="3175" b="5080"/>
                  <wp:docPr id="2" name="图表 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5E2C87D8" w:rsidR="00A917BC" w:rsidRPr="00A917BC" w:rsidRDefault="00F45C6B"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国债品种超短期限出现适度上行，中长期</w:t>
      </w:r>
      <w:proofErr w:type="gramStart"/>
      <w:r>
        <w:rPr>
          <w:rFonts w:ascii="华文楷体" w:hAnsi="华文楷体" w:hint="eastAsia"/>
          <w:sz w:val="24"/>
          <w:szCs w:val="24"/>
          <w:lang w:eastAsia="zh-CN"/>
        </w:rPr>
        <w:t>限相对</w:t>
      </w:r>
      <w:proofErr w:type="gramEnd"/>
      <w:r>
        <w:rPr>
          <w:rFonts w:ascii="华文楷体" w:hAnsi="华文楷体" w:hint="eastAsia"/>
          <w:sz w:val="24"/>
          <w:szCs w:val="24"/>
          <w:lang w:eastAsia="zh-CN"/>
        </w:rPr>
        <w:t>稳定震荡走势为主；</w:t>
      </w:r>
      <w:proofErr w:type="gramStart"/>
      <w:r>
        <w:rPr>
          <w:rFonts w:ascii="华文楷体" w:hAnsi="华文楷体" w:hint="eastAsia"/>
          <w:sz w:val="24"/>
          <w:szCs w:val="24"/>
          <w:lang w:eastAsia="zh-CN"/>
        </w:rPr>
        <w:t>证金债曲线</w:t>
      </w:r>
      <w:proofErr w:type="gramEnd"/>
      <w:r>
        <w:rPr>
          <w:rFonts w:ascii="华文楷体" w:hAnsi="华文楷体" w:hint="eastAsia"/>
          <w:sz w:val="24"/>
          <w:szCs w:val="24"/>
          <w:lang w:eastAsia="zh-CN"/>
        </w:rPr>
        <w:t>表现略好于国债品种，窄幅震荡为主</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w:t>
      </w:r>
      <w:r w:rsidR="00F26897">
        <w:rPr>
          <w:rFonts w:ascii="华文楷体" w:hAnsi="华文楷体" w:hint="eastAsia"/>
          <w:sz w:val="24"/>
          <w:szCs w:val="24"/>
          <w:lang w:eastAsia="zh-CN"/>
        </w:rPr>
        <w:t>Y</w:t>
      </w:r>
      <w:r w:rsidR="00A327C0">
        <w:rPr>
          <w:rFonts w:ascii="华文楷体" w:hAnsi="华文楷体" w:hint="eastAsia"/>
          <w:sz w:val="24"/>
          <w:szCs w:val="24"/>
          <w:lang w:eastAsia="zh-CN"/>
        </w:rPr>
        <w:t>和1Y期限利差</w:t>
      </w:r>
      <w:r w:rsidR="00F62F43">
        <w:rPr>
          <w:rFonts w:ascii="华文楷体" w:hAnsi="华文楷体" w:hint="eastAsia"/>
          <w:sz w:val="24"/>
          <w:szCs w:val="24"/>
          <w:lang w:eastAsia="zh-CN"/>
        </w:rPr>
        <w:t>在</w:t>
      </w:r>
      <w:r w:rsidR="00DB5693">
        <w:rPr>
          <w:rFonts w:ascii="华文楷体" w:hAnsi="华文楷体"/>
          <w:sz w:val="24"/>
          <w:szCs w:val="24"/>
          <w:lang w:eastAsia="zh-CN"/>
        </w:rPr>
        <w:t>6</w:t>
      </w:r>
      <w:r>
        <w:rPr>
          <w:rFonts w:ascii="华文楷体" w:hAnsi="华文楷体"/>
          <w:sz w:val="24"/>
          <w:szCs w:val="24"/>
          <w:lang w:eastAsia="zh-CN"/>
        </w:rPr>
        <w:t>2</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6E4B59">
        <w:rPr>
          <w:rFonts w:ascii="华文楷体" w:hAnsi="华文楷体" w:hint="eastAsia"/>
          <w:sz w:val="24"/>
          <w:szCs w:val="24"/>
          <w:lang w:eastAsia="zh-CN"/>
        </w:rPr>
        <w:t>9</w:t>
      </w:r>
      <w:r>
        <w:rPr>
          <w:rFonts w:ascii="华文楷体" w:hAnsi="华文楷体"/>
          <w:sz w:val="24"/>
          <w:szCs w:val="24"/>
          <w:lang w:eastAsia="zh-CN"/>
        </w:rPr>
        <w:t>3</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Pr>
          <w:rFonts w:ascii="华文楷体" w:hAnsi="华文楷体" w:hint="eastAsia"/>
          <w:sz w:val="24"/>
          <w:szCs w:val="24"/>
          <w:lang w:eastAsia="zh-CN"/>
        </w:rPr>
        <w:t>上</w:t>
      </w:r>
      <w:r w:rsidR="006E4B59">
        <w:rPr>
          <w:rFonts w:ascii="华文楷体" w:hAnsi="华文楷体" w:hint="eastAsia"/>
          <w:sz w:val="24"/>
          <w:szCs w:val="24"/>
          <w:lang w:eastAsia="zh-CN"/>
        </w:rPr>
        <w:t>行</w:t>
      </w:r>
      <w:r>
        <w:rPr>
          <w:rFonts w:ascii="华文楷体" w:hAnsi="华文楷体"/>
          <w:sz w:val="24"/>
          <w:szCs w:val="24"/>
          <w:lang w:eastAsia="zh-CN"/>
        </w:rPr>
        <w:t>1.6</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6E4B59">
        <w:rPr>
          <w:rFonts w:ascii="华文楷体" w:hAnsi="华文楷体" w:hint="eastAsia"/>
          <w:sz w:val="24"/>
          <w:szCs w:val="24"/>
          <w:lang w:eastAsia="zh-CN"/>
        </w:rPr>
        <w:t>下行</w:t>
      </w:r>
      <w:proofErr w:type="gramEnd"/>
      <w:r>
        <w:rPr>
          <w:rFonts w:ascii="华文楷体" w:hAnsi="华文楷体"/>
          <w:sz w:val="24"/>
          <w:szCs w:val="24"/>
          <w:lang w:eastAsia="zh-CN"/>
        </w:rPr>
        <w:t>1.4</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和国债利差</w:t>
      </w:r>
      <w:r w:rsidR="00964EDC">
        <w:rPr>
          <w:rFonts w:ascii="华文楷体" w:hAnsi="华文楷体" w:hint="eastAsia"/>
          <w:sz w:val="24"/>
          <w:szCs w:val="24"/>
          <w:lang w:eastAsia="zh-CN"/>
        </w:rPr>
        <w:t>下行至4</w:t>
      </w:r>
      <w:r w:rsidR="00964EDC">
        <w:rPr>
          <w:rFonts w:ascii="华文楷体" w:hAnsi="华文楷体"/>
          <w:sz w:val="24"/>
          <w:szCs w:val="24"/>
          <w:lang w:eastAsia="zh-CN"/>
        </w:rPr>
        <w:t>0</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9D2FC6">
        <w:tblPrEx>
          <w:tblCellMar>
            <w:left w:w="108" w:type="dxa"/>
            <w:right w:w="108" w:type="dxa"/>
          </w:tblCellMar>
        </w:tblPrEx>
        <w:trPr>
          <w:jc w:val="center"/>
        </w:trPr>
        <w:tc>
          <w:tcPr>
            <w:tcW w:w="4939" w:type="dxa"/>
            <w:vAlign w:val="center"/>
          </w:tcPr>
          <w:p w14:paraId="678C97B0" w14:textId="51D07726" w:rsidR="00E0626C" w:rsidRPr="007E0340" w:rsidRDefault="009D2FC6" w:rsidP="002104B2">
            <w:pPr>
              <w:rPr>
                <w:noProof/>
              </w:rPr>
            </w:pPr>
            <w:r>
              <w:rPr>
                <w:noProof/>
              </w:rPr>
              <w:drawing>
                <wp:inline distT="0" distB="0" distL="0" distR="0" wp14:anchorId="4577DC39" wp14:editId="1C92D82A">
                  <wp:extent cx="2999105" cy="1781769"/>
                  <wp:effectExtent l="0" t="0" r="0" b="0"/>
                  <wp:docPr id="3" name="图表 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07CA816F" w:rsidR="00E0626C" w:rsidRPr="007E0340" w:rsidRDefault="009D2FC6" w:rsidP="009A2BA0">
            <w:pPr>
              <w:jc w:val="center"/>
              <w:rPr>
                <w:noProof/>
                <w:szCs w:val="18"/>
              </w:rPr>
            </w:pPr>
            <w:r>
              <w:rPr>
                <w:noProof/>
              </w:rPr>
              <w:drawing>
                <wp:inline distT="0" distB="0" distL="0" distR="0" wp14:anchorId="7ED42276" wp14:editId="487B9215">
                  <wp:extent cx="2998470" cy="1763339"/>
                  <wp:effectExtent l="0" t="0" r="0" b="8890"/>
                  <wp:docPr id="4" name="图表 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06D34A08"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9111E9" w:rsidRPr="009111E9">
        <w:rPr>
          <w:rFonts w:ascii="华文楷体" w:hAnsi="华文楷体" w:hint="eastAsia"/>
          <w:sz w:val="24"/>
          <w:szCs w:val="24"/>
          <w:lang w:eastAsia="zh-CN"/>
        </w:rPr>
        <w:t>多数主要期限品种震荡为主，其中1Y期限品种适度下行1-4BP，3Y企业债下行4-6BP，5年AA+城投下行4.5BP，除此外其他品种多数在上</w:t>
      </w:r>
      <w:r w:rsidR="00D973D2">
        <w:rPr>
          <w:rFonts w:ascii="华文楷体" w:hAnsi="华文楷体" w:hint="eastAsia"/>
          <w:sz w:val="24"/>
          <w:szCs w:val="24"/>
          <w:lang w:eastAsia="zh-CN"/>
        </w:rPr>
        <w:t>一</w:t>
      </w:r>
      <w:r w:rsidR="009111E9" w:rsidRPr="009111E9">
        <w:rPr>
          <w:rFonts w:ascii="华文楷体" w:hAnsi="华文楷体" w:hint="eastAsia"/>
          <w:sz w:val="24"/>
          <w:szCs w:val="24"/>
          <w:lang w:eastAsia="zh-CN"/>
        </w:rPr>
        <w:t>周水平1-2BP内震荡为主</w:t>
      </w:r>
      <w:r w:rsidR="009111E9">
        <w:rPr>
          <w:rFonts w:ascii="华文楷体" w:hAnsi="华文楷体" w:hint="eastAsia"/>
          <w:sz w:val="24"/>
          <w:szCs w:val="24"/>
          <w:lang w:eastAsia="zh-CN"/>
        </w:rPr>
        <w:t>，整体信用</w:t>
      </w:r>
      <w:proofErr w:type="gramStart"/>
      <w:r w:rsidR="009111E9">
        <w:rPr>
          <w:rFonts w:ascii="华文楷体" w:hAnsi="华文楷体" w:hint="eastAsia"/>
          <w:sz w:val="24"/>
          <w:szCs w:val="24"/>
          <w:lang w:eastAsia="zh-CN"/>
        </w:rPr>
        <w:t>债当前</w:t>
      </w:r>
      <w:proofErr w:type="gramEnd"/>
      <w:r w:rsidR="009111E9">
        <w:rPr>
          <w:rFonts w:ascii="华文楷体" w:hAnsi="华文楷体" w:hint="eastAsia"/>
          <w:sz w:val="24"/>
          <w:szCs w:val="24"/>
          <w:lang w:eastAsia="zh-CN"/>
        </w:rPr>
        <w:t>流动性分层现象仍较严重</w:t>
      </w:r>
      <w:r w:rsidR="0077705A" w:rsidRPr="0077705A">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EF3B44">
        <w:rPr>
          <w:rFonts w:ascii="华文楷体" w:hAnsi="华文楷体"/>
          <w:sz w:val="24"/>
          <w:szCs w:val="24"/>
          <w:lang w:eastAsia="zh-CN"/>
        </w:rPr>
        <w:t>3</w:t>
      </w:r>
      <w:r w:rsidR="0077705A">
        <w:rPr>
          <w:rFonts w:ascii="华文楷体" w:hAnsi="华文楷体" w:hint="eastAsia"/>
          <w:sz w:val="24"/>
          <w:szCs w:val="24"/>
          <w:lang w:eastAsia="zh-CN"/>
        </w:rPr>
        <w:t>0</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EF3B44">
        <w:rPr>
          <w:rFonts w:ascii="华文楷体" w:hAnsi="华文楷体"/>
          <w:sz w:val="24"/>
          <w:szCs w:val="24"/>
          <w:lang w:eastAsia="zh-CN"/>
        </w:rPr>
        <w:t>2</w:t>
      </w:r>
      <w:r w:rsidR="009111E9">
        <w:rPr>
          <w:rFonts w:ascii="华文楷体" w:hAnsi="华文楷体"/>
          <w:sz w:val="24"/>
          <w:szCs w:val="24"/>
          <w:lang w:eastAsia="zh-CN"/>
        </w:rPr>
        <w:t>0</w:t>
      </w:r>
      <w:r w:rsidR="00EF3B44">
        <w:rPr>
          <w:rFonts w:ascii="华文楷体" w:hAnsi="华文楷体" w:hint="eastAsia"/>
          <w:sz w:val="24"/>
          <w:szCs w:val="24"/>
          <w:lang w:eastAsia="zh-CN"/>
        </w:rPr>
        <w:t>-</w:t>
      </w:r>
      <w:r w:rsidR="00EF3B44">
        <w:rPr>
          <w:rFonts w:ascii="华文楷体" w:hAnsi="华文楷体"/>
          <w:sz w:val="24"/>
          <w:szCs w:val="24"/>
          <w:lang w:eastAsia="zh-CN"/>
        </w:rPr>
        <w:t>3</w:t>
      </w:r>
      <w:r w:rsidR="0077705A">
        <w:rPr>
          <w:rFonts w:ascii="华文楷体" w:hAnsi="华文楷体" w:hint="eastAsia"/>
          <w:sz w:val="24"/>
          <w:szCs w:val="24"/>
          <w:lang w:eastAsia="zh-CN"/>
        </w:rPr>
        <w:t>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77705A">
        <w:rPr>
          <w:rFonts w:ascii="华文楷体" w:hAnsi="华文楷体" w:hint="eastAsia"/>
          <w:sz w:val="24"/>
          <w:szCs w:val="24"/>
          <w:lang w:eastAsia="zh-CN"/>
        </w:rPr>
        <w:t>8</w:t>
      </w:r>
      <w:r w:rsidR="004F1AB3">
        <w:rPr>
          <w:rFonts w:ascii="华文楷体" w:hAnsi="华文楷体" w:hint="eastAsia"/>
          <w:sz w:val="24"/>
          <w:szCs w:val="24"/>
          <w:lang w:eastAsia="zh-CN"/>
        </w:rPr>
        <w:t>-2</w:t>
      </w:r>
      <w:r w:rsidR="009111E9">
        <w:rPr>
          <w:rFonts w:ascii="华文楷体" w:hAnsi="华文楷体"/>
          <w:sz w:val="24"/>
          <w:szCs w:val="24"/>
          <w:lang w:eastAsia="zh-CN"/>
        </w:rPr>
        <w:t>5</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5D5C69">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23" w:type="dxa"/>
              <w:tblLook w:val="04A0" w:firstRow="1" w:lastRow="0" w:firstColumn="1" w:lastColumn="0" w:noHBand="0" w:noVBand="1"/>
            </w:tblPr>
            <w:tblGrid>
              <w:gridCol w:w="1307"/>
              <w:gridCol w:w="796"/>
              <w:gridCol w:w="942"/>
              <w:gridCol w:w="942"/>
              <w:gridCol w:w="868"/>
              <w:gridCol w:w="1131"/>
              <w:gridCol w:w="826"/>
              <w:gridCol w:w="942"/>
              <w:gridCol w:w="942"/>
              <w:gridCol w:w="942"/>
            </w:tblGrid>
            <w:tr w:rsidR="009111E9" w:rsidRPr="009111E9" w14:paraId="62E6E020" w14:textId="77777777" w:rsidTr="009111E9">
              <w:trPr>
                <w:trHeight w:val="385"/>
              </w:trPr>
              <w:tc>
                <w:tcPr>
                  <w:tcW w:w="1334" w:type="dxa"/>
                  <w:tcBorders>
                    <w:top w:val="nil"/>
                    <w:left w:val="nil"/>
                    <w:bottom w:val="single" w:sz="12" w:space="0" w:color="FFFFFF"/>
                    <w:right w:val="single" w:sz="8" w:space="0" w:color="FFFFFF"/>
                  </w:tcBorders>
                  <w:shd w:val="clear" w:color="000000" w:fill="F79646"/>
                  <w:noWrap/>
                  <w:vAlign w:val="center"/>
                  <w:hideMark/>
                </w:tcPr>
                <w:p w14:paraId="6086F988"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收益率(%)</w:t>
                  </w:r>
                </w:p>
              </w:tc>
              <w:tc>
                <w:tcPr>
                  <w:tcW w:w="810" w:type="dxa"/>
                  <w:tcBorders>
                    <w:top w:val="nil"/>
                    <w:left w:val="nil"/>
                    <w:bottom w:val="single" w:sz="12" w:space="0" w:color="FFFFFF"/>
                    <w:right w:val="single" w:sz="8" w:space="0" w:color="FFFFFF"/>
                  </w:tcBorders>
                  <w:shd w:val="clear" w:color="000000" w:fill="F79646"/>
                  <w:noWrap/>
                  <w:vAlign w:val="center"/>
                  <w:hideMark/>
                </w:tcPr>
                <w:p w14:paraId="351FB74A"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1CC76668"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28B05310"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884" w:type="dxa"/>
                  <w:tcBorders>
                    <w:top w:val="nil"/>
                    <w:left w:val="nil"/>
                    <w:bottom w:val="single" w:sz="12" w:space="0" w:color="FFFFFF"/>
                    <w:right w:val="single" w:sz="8" w:space="0" w:color="FFFFFF"/>
                  </w:tcBorders>
                  <w:shd w:val="clear" w:color="000000" w:fill="F79646"/>
                  <w:noWrap/>
                  <w:vAlign w:val="center"/>
                  <w:hideMark/>
                </w:tcPr>
                <w:p w14:paraId="0F6F57E5"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1154" w:type="dxa"/>
                  <w:tcBorders>
                    <w:top w:val="nil"/>
                    <w:left w:val="nil"/>
                    <w:bottom w:val="single" w:sz="12" w:space="0" w:color="FFFFFF"/>
                    <w:right w:val="single" w:sz="8" w:space="0" w:color="FFFFFF"/>
                  </w:tcBorders>
                  <w:shd w:val="clear" w:color="000000" w:fill="F79646"/>
                  <w:noWrap/>
                  <w:vAlign w:val="center"/>
                  <w:hideMark/>
                </w:tcPr>
                <w:p w14:paraId="3D8B9FD1"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息差</w:t>
                  </w:r>
                </w:p>
              </w:tc>
              <w:tc>
                <w:tcPr>
                  <w:tcW w:w="841" w:type="dxa"/>
                  <w:tcBorders>
                    <w:top w:val="nil"/>
                    <w:left w:val="nil"/>
                    <w:bottom w:val="single" w:sz="12" w:space="0" w:color="FFFFFF"/>
                    <w:right w:val="single" w:sz="8" w:space="0" w:color="FFFFFF"/>
                  </w:tcBorders>
                  <w:shd w:val="clear" w:color="000000" w:fill="F79646"/>
                  <w:noWrap/>
                  <w:vAlign w:val="center"/>
                  <w:hideMark/>
                </w:tcPr>
                <w:p w14:paraId="307EF489"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1177FCEC"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432E9258"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6CB1250A"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r>
            <w:tr w:rsidR="009111E9" w:rsidRPr="009111E9" w14:paraId="60BA3D44" w14:textId="77777777" w:rsidTr="009111E9">
              <w:trPr>
                <w:trHeight w:val="397"/>
              </w:trPr>
              <w:tc>
                <w:tcPr>
                  <w:tcW w:w="1334" w:type="dxa"/>
                  <w:tcBorders>
                    <w:top w:val="nil"/>
                    <w:left w:val="nil"/>
                    <w:bottom w:val="single" w:sz="8" w:space="0" w:color="FFFFFF"/>
                    <w:right w:val="single" w:sz="8" w:space="0" w:color="FFFFFF"/>
                  </w:tcBorders>
                  <w:shd w:val="clear" w:color="000000" w:fill="FCD5B4"/>
                  <w:noWrap/>
                  <w:vAlign w:val="center"/>
                  <w:hideMark/>
                </w:tcPr>
                <w:p w14:paraId="4E311041"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CP</w:t>
                  </w:r>
                </w:p>
              </w:tc>
              <w:tc>
                <w:tcPr>
                  <w:tcW w:w="810" w:type="dxa"/>
                  <w:tcBorders>
                    <w:top w:val="nil"/>
                    <w:left w:val="nil"/>
                    <w:bottom w:val="single" w:sz="8" w:space="0" w:color="FFFFFF"/>
                    <w:right w:val="single" w:sz="8" w:space="0" w:color="FFFFFF"/>
                  </w:tcBorders>
                  <w:shd w:val="clear" w:color="000000" w:fill="FCD5B4"/>
                  <w:noWrap/>
                  <w:vAlign w:val="center"/>
                  <w:hideMark/>
                </w:tcPr>
                <w:p w14:paraId="4B496547"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3.09 </w:t>
                  </w:r>
                </w:p>
              </w:tc>
              <w:tc>
                <w:tcPr>
                  <w:tcW w:w="960" w:type="dxa"/>
                  <w:tcBorders>
                    <w:top w:val="nil"/>
                    <w:left w:val="nil"/>
                    <w:bottom w:val="single" w:sz="8" w:space="0" w:color="FFFFFF"/>
                    <w:right w:val="single" w:sz="8" w:space="0" w:color="FFFFFF"/>
                  </w:tcBorders>
                  <w:shd w:val="clear" w:color="000000" w:fill="FCD5B4"/>
                  <w:noWrap/>
                  <w:vAlign w:val="center"/>
                  <w:hideMark/>
                </w:tcPr>
                <w:p w14:paraId="59BF429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3.28 </w:t>
                  </w:r>
                </w:p>
              </w:tc>
              <w:tc>
                <w:tcPr>
                  <w:tcW w:w="960" w:type="dxa"/>
                  <w:tcBorders>
                    <w:top w:val="nil"/>
                    <w:left w:val="nil"/>
                    <w:bottom w:val="single" w:sz="8" w:space="0" w:color="FFFFFF"/>
                    <w:right w:val="single" w:sz="8" w:space="0" w:color="FFFFFF"/>
                  </w:tcBorders>
                  <w:shd w:val="clear" w:color="000000" w:fill="FCD5B4"/>
                  <w:noWrap/>
                  <w:vAlign w:val="center"/>
                  <w:hideMark/>
                </w:tcPr>
                <w:p w14:paraId="19696C2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3.70 </w:t>
                  </w:r>
                </w:p>
              </w:tc>
              <w:tc>
                <w:tcPr>
                  <w:tcW w:w="884" w:type="dxa"/>
                  <w:tcBorders>
                    <w:top w:val="nil"/>
                    <w:left w:val="nil"/>
                    <w:bottom w:val="single" w:sz="8" w:space="0" w:color="FFFFFF"/>
                    <w:right w:val="single" w:sz="8" w:space="0" w:color="FFFFFF"/>
                  </w:tcBorders>
                  <w:shd w:val="clear" w:color="000000" w:fill="FCD5B4"/>
                  <w:noWrap/>
                  <w:vAlign w:val="center"/>
                  <w:hideMark/>
                </w:tcPr>
                <w:p w14:paraId="7C65CAF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5.87 </w:t>
                  </w:r>
                </w:p>
              </w:tc>
              <w:tc>
                <w:tcPr>
                  <w:tcW w:w="1154" w:type="dxa"/>
                  <w:tcBorders>
                    <w:top w:val="nil"/>
                    <w:left w:val="nil"/>
                    <w:bottom w:val="single" w:sz="8" w:space="0" w:color="FFFFFF"/>
                    <w:right w:val="single" w:sz="8" w:space="0" w:color="FFFFFF"/>
                  </w:tcBorders>
                  <w:shd w:val="clear" w:color="000000" w:fill="FCD5B4"/>
                  <w:noWrap/>
                  <w:vAlign w:val="center"/>
                  <w:hideMark/>
                </w:tcPr>
                <w:p w14:paraId="68290AB3"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CP</w:t>
                  </w:r>
                </w:p>
              </w:tc>
              <w:tc>
                <w:tcPr>
                  <w:tcW w:w="841" w:type="dxa"/>
                  <w:tcBorders>
                    <w:top w:val="nil"/>
                    <w:left w:val="nil"/>
                    <w:bottom w:val="single" w:sz="8" w:space="0" w:color="FFFFFF"/>
                    <w:right w:val="single" w:sz="8" w:space="0" w:color="FFFFFF"/>
                  </w:tcBorders>
                  <w:shd w:val="clear" w:color="000000" w:fill="FCD5B4"/>
                  <w:noWrap/>
                  <w:vAlign w:val="center"/>
                  <w:hideMark/>
                </w:tcPr>
                <w:p w14:paraId="098C574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0.45 </w:t>
                  </w:r>
                </w:p>
              </w:tc>
              <w:tc>
                <w:tcPr>
                  <w:tcW w:w="960" w:type="dxa"/>
                  <w:tcBorders>
                    <w:top w:val="nil"/>
                    <w:left w:val="nil"/>
                    <w:bottom w:val="single" w:sz="8" w:space="0" w:color="FFFFFF"/>
                    <w:right w:val="single" w:sz="8" w:space="0" w:color="FFFFFF"/>
                  </w:tcBorders>
                  <w:shd w:val="clear" w:color="000000" w:fill="FCD5B4"/>
                  <w:noWrap/>
                  <w:vAlign w:val="center"/>
                  <w:hideMark/>
                </w:tcPr>
                <w:p w14:paraId="67FC5DD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0.64 </w:t>
                  </w:r>
                </w:p>
              </w:tc>
              <w:tc>
                <w:tcPr>
                  <w:tcW w:w="960" w:type="dxa"/>
                  <w:tcBorders>
                    <w:top w:val="nil"/>
                    <w:left w:val="nil"/>
                    <w:bottom w:val="single" w:sz="8" w:space="0" w:color="FFFFFF"/>
                    <w:right w:val="single" w:sz="8" w:space="0" w:color="FFFFFF"/>
                  </w:tcBorders>
                  <w:shd w:val="clear" w:color="000000" w:fill="FCD5B4"/>
                  <w:noWrap/>
                  <w:vAlign w:val="center"/>
                  <w:hideMark/>
                </w:tcPr>
                <w:p w14:paraId="57A8B2E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1.06 </w:t>
                  </w:r>
                </w:p>
              </w:tc>
              <w:tc>
                <w:tcPr>
                  <w:tcW w:w="960" w:type="dxa"/>
                  <w:tcBorders>
                    <w:top w:val="nil"/>
                    <w:left w:val="nil"/>
                    <w:bottom w:val="single" w:sz="8" w:space="0" w:color="FFFFFF"/>
                    <w:right w:val="single" w:sz="8" w:space="0" w:color="FFFFFF"/>
                  </w:tcBorders>
                  <w:shd w:val="clear" w:color="000000" w:fill="FCD5B4"/>
                  <w:noWrap/>
                  <w:vAlign w:val="center"/>
                  <w:hideMark/>
                </w:tcPr>
                <w:p w14:paraId="7DE54CA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3.23 </w:t>
                  </w:r>
                </w:p>
              </w:tc>
            </w:tr>
            <w:tr w:rsidR="009111E9" w:rsidRPr="009111E9" w14:paraId="05009960"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63CD461F"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MTN3Y</w:t>
                  </w:r>
                </w:p>
              </w:tc>
              <w:tc>
                <w:tcPr>
                  <w:tcW w:w="810" w:type="dxa"/>
                  <w:tcBorders>
                    <w:top w:val="nil"/>
                    <w:left w:val="nil"/>
                    <w:bottom w:val="single" w:sz="8" w:space="0" w:color="FFFFFF"/>
                    <w:right w:val="single" w:sz="8" w:space="0" w:color="FFFFFF"/>
                  </w:tcBorders>
                  <w:shd w:val="clear" w:color="000000" w:fill="FDE9D9"/>
                  <w:noWrap/>
                  <w:vAlign w:val="center"/>
                  <w:hideMark/>
                </w:tcPr>
                <w:p w14:paraId="55080D18"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3.64 </w:t>
                  </w:r>
                </w:p>
              </w:tc>
              <w:tc>
                <w:tcPr>
                  <w:tcW w:w="960" w:type="dxa"/>
                  <w:tcBorders>
                    <w:top w:val="nil"/>
                    <w:left w:val="nil"/>
                    <w:bottom w:val="single" w:sz="8" w:space="0" w:color="FFFFFF"/>
                    <w:right w:val="single" w:sz="8" w:space="0" w:color="FFFFFF"/>
                  </w:tcBorders>
                  <w:shd w:val="clear" w:color="000000" w:fill="FDE9D9"/>
                  <w:noWrap/>
                  <w:vAlign w:val="center"/>
                  <w:hideMark/>
                </w:tcPr>
                <w:p w14:paraId="30EB38E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3.90 </w:t>
                  </w:r>
                </w:p>
              </w:tc>
              <w:tc>
                <w:tcPr>
                  <w:tcW w:w="960" w:type="dxa"/>
                  <w:tcBorders>
                    <w:top w:val="nil"/>
                    <w:left w:val="nil"/>
                    <w:bottom w:val="single" w:sz="8" w:space="0" w:color="FFFFFF"/>
                    <w:right w:val="single" w:sz="8" w:space="0" w:color="FFFFFF"/>
                  </w:tcBorders>
                  <w:shd w:val="clear" w:color="000000" w:fill="FDE9D9"/>
                  <w:noWrap/>
                  <w:vAlign w:val="center"/>
                  <w:hideMark/>
                </w:tcPr>
                <w:p w14:paraId="4AF2879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4.38 </w:t>
                  </w:r>
                </w:p>
              </w:tc>
              <w:tc>
                <w:tcPr>
                  <w:tcW w:w="884" w:type="dxa"/>
                  <w:tcBorders>
                    <w:top w:val="nil"/>
                    <w:left w:val="nil"/>
                    <w:bottom w:val="single" w:sz="8" w:space="0" w:color="FFFFFF"/>
                    <w:right w:val="single" w:sz="8" w:space="0" w:color="FFFFFF"/>
                  </w:tcBorders>
                  <w:shd w:val="clear" w:color="000000" w:fill="FDE9D9"/>
                  <w:noWrap/>
                  <w:vAlign w:val="center"/>
                  <w:hideMark/>
                </w:tcPr>
                <w:p w14:paraId="5548F3B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6.55 </w:t>
                  </w:r>
                </w:p>
              </w:tc>
              <w:tc>
                <w:tcPr>
                  <w:tcW w:w="1154" w:type="dxa"/>
                  <w:tcBorders>
                    <w:top w:val="nil"/>
                    <w:left w:val="nil"/>
                    <w:bottom w:val="single" w:sz="8" w:space="0" w:color="FFFFFF"/>
                    <w:right w:val="single" w:sz="8" w:space="0" w:color="FFFFFF"/>
                  </w:tcBorders>
                  <w:shd w:val="clear" w:color="000000" w:fill="FDE9D9"/>
                  <w:noWrap/>
                  <w:vAlign w:val="center"/>
                  <w:hideMark/>
                </w:tcPr>
                <w:p w14:paraId="6AB9917C"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MTN3Y</w:t>
                  </w:r>
                </w:p>
              </w:tc>
              <w:tc>
                <w:tcPr>
                  <w:tcW w:w="841" w:type="dxa"/>
                  <w:tcBorders>
                    <w:top w:val="nil"/>
                    <w:left w:val="nil"/>
                    <w:bottom w:val="single" w:sz="8" w:space="0" w:color="FFFFFF"/>
                    <w:right w:val="single" w:sz="8" w:space="0" w:color="FFFFFF"/>
                  </w:tcBorders>
                  <w:shd w:val="clear" w:color="000000" w:fill="FDE9D9"/>
                  <w:noWrap/>
                  <w:vAlign w:val="center"/>
                  <w:hideMark/>
                </w:tcPr>
                <w:p w14:paraId="6C0F271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0.68 </w:t>
                  </w:r>
                </w:p>
              </w:tc>
              <w:tc>
                <w:tcPr>
                  <w:tcW w:w="960" w:type="dxa"/>
                  <w:tcBorders>
                    <w:top w:val="nil"/>
                    <w:left w:val="nil"/>
                    <w:bottom w:val="single" w:sz="8" w:space="0" w:color="FFFFFF"/>
                    <w:right w:val="single" w:sz="8" w:space="0" w:color="FFFFFF"/>
                  </w:tcBorders>
                  <w:shd w:val="clear" w:color="000000" w:fill="FDE9D9"/>
                  <w:noWrap/>
                  <w:vAlign w:val="center"/>
                  <w:hideMark/>
                </w:tcPr>
                <w:p w14:paraId="1C5CD1B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0.94 </w:t>
                  </w:r>
                </w:p>
              </w:tc>
              <w:tc>
                <w:tcPr>
                  <w:tcW w:w="960" w:type="dxa"/>
                  <w:tcBorders>
                    <w:top w:val="nil"/>
                    <w:left w:val="nil"/>
                    <w:bottom w:val="single" w:sz="8" w:space="0" w:color="FFFFFF"/>
                    <w:right w:val="single" w:sz="8" w:space="0" w:color="FFFFFF"/>
                  </w:tcBorders>
                  <w:shd w:val="clear" w:color="000000" w:fill="FDE9D9"/>
                  <w:noWrap/>
                  <w:vAlign w:val="center"/>
                  <w:hideMark/>
                </w:tcPr>
                <w:p w14:paraId="2FE714B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1.42 </w:t>
                  </w:r>
                </w:p>
              </w:tc>
              <w:tc>
                <w:tcPr>
                  <w:tcW w:w="960" w:type="dxa"/>
                  <w:tcBorders>
                    <w:top w:val="nil"/>
                    <w:left w:val="nil"/>
                    <w:bottom w:val="single" w:sz="8" w:space="0" w:color="FFFFFF"/>
                    <w:right w:val="single" w:sz="8" w:space="0" w:color="FFFFFF"/>
                  </w:tcBorders>
                  <w:shd w:val="clear" w:color="000000" w:fill="FDE9D9"/>
                  <w:noWrap/>
                  <w:vAlign w:val="center"/>
                  <w:hideMark/>
                </w:tcPr>
                <w:p w14:paraId="4F121D7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3.59 </w:t>
                  </w:r>
                </w:p>
              </w:tc>
            </w:tr>
            <w:tr w:rsidR="009111E9" w:rsidRPr="009111E9" w14:paraId="6C9B02FE"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0308AE21"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MTN5Y</w:t>
                  </w:r>
                </w:p>
              </w:tc>
              <w:tc>
                <w:tcPr>
                  <w:tcW w:w="810" w:type="dxa"/>
                  <w:tcBorders>
                    <w:top w:val="nil"/>
                    <w:left w:val="nil"/>
                    <w:bottom w:val="single" w:sz="8" w:space="0" w:color="FFFFFF"/>
                    <w:right w:val="single" w:sz="8" w:space="0" w:color="FFFFFF"/>
                  </w:tcBorders>
                  <w:shd w:val="clear" w:color="000000" w:fill="FCD5B4"/>
                  <w:noWrap/>
                  <w:vAlign w:val="center"/>
                  <w:hideMark/>
                </w:tcPr>
                <w:p w14:paraId="7F0CC89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3.82 </w:t>
                  </w:r>
                </w:p>
              </w:tc>
              <w:tc>
                <w:tcPr>
                  <w:tcW w:w="960" w:type="dxa"/>
                  <w:tcBorders>
                    <w:top w:val="nil"/>
                    <w:left w:val="nil"/>
                    <w:bottom w:val="single" w:sz="8" w:space="0" w:color="FFFFFF"/>
                    <w:right w:val="single" w:sz="8" w:space="0" w:color="FFFFFF"/>
                  </w:tcBorders>
                  <w:shd w:val="clear" w:color="000000" w:fill="FCD5B4"/>
                  <w:noWrap/>
                  <w:vAlign w:val="center"/>
                  <w:hideMark/>
                </w:tcPr>
                <w:p w14:paraId="2877D67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4.14 </w:t>
                  </w:r>
                </w:p>
              </w:tc>
              <w:tc>
                <w:tcPr>
                  <w:tcW w:w="960" w:type="dxa"/>
                  <w:tcBorders>
                    <w:top w:val="nil"/>
                    <w:left w:val="nil"/>
                    <w:bottom w:val="single" w:sz="8" w:space="0" w:color="FFFFFF"/>
                    <w:right w:val="single" w:sz="8" w:space="0" w:color="FFFFFF"/>
                  </w:tcBorders>
                  <w:shd w:val="clear" w:color="000000" w:fill="FCD5B4"/>
                  <w:noWrap/>
                  <w:vAlign w:val="center"/>
                  <w:hideMark/>
                </w:tcPr>
                <w:p w14:paraId="186C92F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4.64 </w:t>
                  </w:r>
                </w:p>
              </w:tc>
              <w:tc>
                <w:tcPr>
                  <w:tcW w:w="884" w:type="dxa"/>
                  <w:tcBorders>
                    <w:top w:val="nil"/>
                    <w:left w:val="nil"/>
                    <w:bottom w:val="single" w:sz="8" w:space="0" w:color="FFFFFF"/>
                    <w:right w:val="single" w:sz="8" w:space="0" w:color="FFFFFF"/>
                  </w:tcBorders>
                  <w:shd w:val="clear" w:color="000000" w:fill="FCD5B4"/>
                  <w:noWrap/>
                  <w:vAlign w:val="center"/>
                  <w:hideMark/>
                </w:tcPr>
                <w:p w14:paraId="184DE1F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6.81 </w:t>
                  </w:r>
                </w:p>
              </w:tc>
              <w:tc>
                <w:tcPr>
                  <w:tcW w:w="1154" w:type="dxa"/>
                  <w:tcBorders>
                    <w:top w:val="nil"/>
                    <w:left w:val="nil"/>
                    <w:bottom w:val="single" w:sz="8" w:space="0" w:color="FFFFFF"/>
                    <w:right w:val="single" w:sz="8" w:space="0" w:color="FFFFFF"/>
                  </w:tcBorders>
                  <w:shd w:val="clear" w:color="000000" w:fill="FCD5B4"/>
                  <w:noWrap/>
                  <w:vAlign w:val="center"/>
                  <w:hideMark/>
                </w:tcPr>
                <w:p w14:paraId="7EE3C12F"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MTN5Y</w:t>
                  </w:r>
                </w:p>
              </w:tc>
              <w:tc>
                <w:tcPr>
                  <w:tcW w:w="841" w:type="dxa"/>
                  <w:tcBorders>
                    <w:top w:val="nil"/>
                    <w:left w:val="nil"/>
                    <w:bottom w:val="single" w:sz="8" w:space="0" w:color="FFFFFF"/>
                    <w:right w:val="single" w:sz="8" w:space="0" w:color="FFFFFF"/>
                  </w:tcBorders>
                  <w:shd w:val="clear" w:color="000000" w:fill="FCD5B4"/>
                  <w:noWrap/>
                  <w:vAlign w:val="center"/>
                  <w:hideMark/>
                </w:tcPr>
                <w:p w14:paraId="0277283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0.72 </w:t>
                  </w:r>
                </w:p>
              </w:tc>
              <w:tc>
                <w:tcPr>
                  <w:tcW w:w="960" w:type="dxa"/>
                  <w:tcBorders>
                    <w:top w:val="nil"/>
                    <w:left w:val="nil"/>
                    <w:bottom w:val="single" w:sz="8" w:space="0" w:color="FFFFFF"/>
                    <w:right w:val="single" w:sz="8" w:space="0" w:color="FFFFFF"/>
                  </w:tcBorders>
                  <w:shd w:val="clear" w:color="000000" w:fill="FCD5B4"/>
                  <w:noWrap/>
                  <w:vAlign w:val="center"/>
                  <w:hideMark/>
                </w:tcPr>
                <w:p w14:paraId="304E1DB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1.04 </w:t>
                  </w:r>
                </w:p>
              </w:tc>
              <w:tc>
                <w:tcPr>
                  <w:tcW w:w="960" w:type="dxa"/>
                  <w:tcBorders>
                    <w:top w:val="nil"/>
                    <w:left w:val="nil"/>
                    <w:bottom w:val="single" w:sz="8" w:space="0" w:color="FFFFFF"/>
                    <w:right w:val="single" w:sz="8" w:space="0" w:color="FFFFFF"/>
                  </w:tcBorders>
                  <w:shd w:val="clear" w:color="000000" w:fill="FCD5B4"/>
                  <w:noWrap/>
                  <w:vAlign w:val="center"/>
                  <w:hideMark/>
                </w:tcPr>
                <w:p w14:paraId="3FD7ED7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1.54 </w:t>
                  </w:r>
                </w:p>
              </w:tc>
              <w:tc>
                <w:tcPr>
                  <w:tcW w:w="960" w:type="dxa"/>
                  <w:tcBorders>
                    <w:top w:val="nil"/>
                    <w:left w:val="nil"/>
                    <w:bottom w:val="single" w:sz="8" w:space="0" w:color="FFFFFF"/>
                    <w:right w:val="single" w:sz="8" w:space="0" w:color="FFFFFF"/>
                  </w:tcBorders>
                  <w:shd w:val="clear" w:color="000000" w:fill="FCD5B4"/>
                  <w:noWrap/>
                  <w:vAlign w:val="center"/>
                  <w:hideMark/>
                </w:tcPr>
                <w:p w14:paraId="59BE179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3.71 </w:t>
                  </w:r>
                </w:p>
              </w:tc>
            </w:tr>
            <w:tr w:rsidR="009111E9" w:rsidRPr="009111E9" w14:paraId="384CCCE5"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11CECB01"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企业债3Y</w:t>
                  </w:r>
                </w:p>
              </w:tc>
              <w:tc>
                <w:tcPr>
                  <w:tcW w:w="810" w:type="dxa"/>
                  <w:tcBorders>
                    <w:top w:val="nil"/>
                    <w:left w:val="nil"/>
                    <w:bottom w:val="single" w:sz="8" w:space="0" w:color="FFFFFF"/>
                    <w:right w:val="single" w:sz="8" w:space="0" w:color="FFFFFF"/>
                  </w:tcBorders>
                  <w:shd w:val="clear" w:color="000000" w:fill="FDE9D9"/>
                  <w:noWrap/>
                  <w:vAlign w:val="center"/>
                  <w:hideMark/>
                </w:tcPr>
                <w:p w14:paraId="454E9B3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3.56 </w:t>
                  </w:r>
                </w:p>
              </w:tc>
              <w:tc>
                <w:tcPr>
                  <w:tcW w:w="960" w:type="dxa"/>
                  <w:tcBorders>
                    <w:top w:val="nil"/>
                    <w:left w:val="nil"/>
                    <w:bottom w:val="single" w:sz="8" w:space="0" w:color="FFFFFF"/>
                    <w:right w:val="single" w:sz="8" w:space="0" w:color="FFFFFF"/>
                  </w:tcBorders>
                  <w:shd w:val="clear" w:color="000000" w:fill="FDE9D9"/>
                  <w:noWrap/>
                  <w:vAlign w:val="center"/>
                  <w:hideMark/>
                </w:tcPr>
                <w:p w14:paraId="73A63DA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3.78 </w:t>
                  </w:r>
                </w:p>
              </w:tc>
              <w:tc>
                <w:tcPr>
                  <w:tcW w:w="960" w:type="dxa"/>
                  <w:tcBorders>
                    <w:top w:val="nil"/>
                    <w:left w:val="nil"/>
                    <w:bottom w:val="single" w:sz="8" w:space="0" w:color="FFFFFF"/>
                    <w:right w:val="single" w:sz="8" w:space="0" w:color="FFFFFF"/>
                  </w:tcBorders>
                  <w:shd w:val="clear" w:color="000000" w:fill="FDE9D9"/>
                  <w:noWrap/>
                  <w:vAlign w:val="center"/>
                  <w:hideMark/>
                </w:tcPr>
                <w:p w14:paraId="4B97852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4.19 </w:t>
                  </w:r>
                </w:p>
              </w:tc>
              <w:tc>
                <w:tcPr>
                  <w:tcW w:w="884" w:type="dxa"/>
                  <w:tcBorders>
                    <w:top w:val="nil"/>
                    <w:left w:val="nil"/>
                    <w:bottom w:val="single" w:sz="8" w:space="0" w:color="FFFFFF"/>
                    <w:right w:val="single" w:sz="8" w:space="0" w:color="FFFFFF"/>
                  </w:tcBorders>
                  <w:shd w:val="clear" w:color="000000" w:fill="FDE9D9"/>
                  <w:noWrap/>
                  <w:vAlign w:val="center"/>
                  <w:hideMark/>
                </w:tcPr>
                <w:p w14:paraId="0EDD365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6.41 </w:t>
                  </w:r>
                </w:p>
              </w:tc>
              <w:tc>
                <w:tcPr>
                  <w:tcW w:w="1154" w:type="dxa"/>
                  <w:tcBorders>
                    <w:top w:val="nil"/>
                    <w:left w:val="nil"/>
                    <w:bottom w:val="single" w:sz="8" w:space="0" w:color="FFFFFF"/>
                    <w:right w:val="single" w:sz="8" w:space="0" w:color="FFFFFF"/>
                  </w:tcBorders>
                  <w:shd w:val="clear" w:color="000000" w:fill="FDE9D9"/>
                  <w:noWrap/>
                  <w:vAlign w:val="center"/>
                  <w:hideMark/>
                </w:tcPr>
                <w:p w14:paraId="577B62E7"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企业债3Y</w:t>
                  </w:r>
                </w:p>
              </w:tc>
              <w:tc>
                <w:tcPr>
                  <w:tcW w:w="841" w:type="dxa"/>
                  <w:tcBorders>
                    <w:top w:val="nil"/>
                    <w:left w:val="nil"/>
                    <w:bottom w:val="single" w:sz="8" w:space="0" w:color="FFFFFF"/>
                    <w:right w:val="single" w:sz="8" w:space="0" w:color="FFFFFF"/>
                  </w:tcBorders>
                  <w:shd w:val="clear" w:color="000000" w:fill="FDE9D9"/>
                  <w:noWrap/>
                  <w:vAlign w:val="center"/>
                  <w:hideMark/>
                </w:tcPr>
                <w:p w14:paraId="338E1EF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0.61 </w:t>
                  </w:r>
                </w:p>
              </w:tc>
              <w:tc>
                <w:tcPr>
                  <w:tcW w:w="960" w:type="dxa"/>
                  <w:tcBorders>
                    <w:top w:val="nil"/>
                    <w:left w:val="nil"/>
                    <w:bottom w:val="single" w:sz="8" w:space="0" w:color="FFFFFF"/>
                    <w:right w:val="single" w:sz="8" w:space="0" w:color="FFFFFF"/>
                  </w:tcBorders>
                  <w:shd w:val="clear" w:color="000000" w:fill="FDE9D9"/>
                  <w:noWrap/>
                  <w:vAlign w:val="center"/>
                  <w:hideMark/>
                </w:tcPr>
                <w:p w14:paraId="6E45FA6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0.83 </w:t>
                  </w:r>
                </w:p>
              </w:tc>
              <w:tc>
                <w:tcPr>
                  <w:tcW w:w="960" w:type="dxa"/>
                  <w:tcBorders>
                    <w:top w:val="nil"/>
                    <w:left w:val="nil"/>
                    <w:bottom w:val="single" w:sz="8" w:space="0" w:color="FFFFFF"/>
                    <w:right w:val="single" w:sz="8" w:space="0" w:color="FFFFFF"/>
                  </w:tcBorders>
                  <w:shd w:val="clear" w:color="000000" w:fill="FDE9D9"/>
                  <w:noWrap/>
                  <w:vAlign w:val="center"/>
                  <w:hideMark/>
                </w:tcPr>
                <w:p w14:paraId="0DA384F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1.24 </w:t>
                  </w:r>
                </w:p>
              </w:tc>
              <w:tc>
                <w:tcPr>
                  <w:tcW w:w="960" w:type="dxa"/>
                  <w:tcBorders>
                    <w:top w:val="nil"/>
                    <w:left w:val="nil"/>
                    <w:bottom w:val="single" w:sz="8" w:space="0" w:color="FFFFFF"/>
                    <w:right w:val="single" w:sz="8" w:space="0" w:color="FFFFFF"/>
                  </w:tcBorders>
                  <w:shd w:val="clear" w:color="000000" w:fill="FDE9D9"/>
                  <w:noWrap/>
                  <w:vAlign w:val="center"/>
                  <w:hideMark/>
                </w:tcPr>
                <w:p w14:paraId="55304826"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3.46 </w:t>
                  </w:r>
                </w:p>
              </w:tc>
            </w:tr>
            <w:tr w:rsidR="009111E9" w:rsidRPr="009111E9" w14:paraId="7C572A94"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755D4707"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企业债5Y</w:t>
                  </w:r>
                </w:p>
              </w:tc>
              <w:tc>
                <w:tcPr>
                  <w:tcW w:w="810" w:type="dxa"/>
                  <w:tcBorders>
                    <w:top w:val="nil"/>
                    <w:left w:val="nil"/>
                    <w:bottom w:val="single" w:sz="8" w:space="0" w:color="FFFFFF"/>
                    <w:right w:val="single" w:sz="8" w:space="0" w:color="FFFFFF"/>
                  </w:tcBorders>
                  <w:shd w:val="clear" w:color="000000" w:fill="FCD5B4"/>
                  <w:noWrap/>
                  <w:vAlign w:val="center"/>
                  <w:hideMark/>
                </w:tcPr>
                <w:p w14:paraId="167ACF9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3.81 </w:t>
                  </w:r>
                </w:p>
              </w:tc>
              <w:tc>
                <w:tcPr>
                  <w:tcW w:w="960" w:type="dxa"/>
                  <w:tcBorders>
                    <w:top w:val="nil"/>
                    <w:left w:val="nil"/>
                    <w:bottom w:val="single" w:sz="8" w:space="0" w:color="FFFFFF"/>
                    <w:right w:val="single" w:sz="8" w:space="0" w:color="FFFFFF"/>
                  </w:tcBorders>
                  <w:shd w:val="clear" w:color="000000" w:fill="FCD5B4"/>
                  <w:noWrap/>
                  <w:vAlign w:val="center"/>
                  <w:hideMark/>
                </w:tcPr>
                <w:p w14:paraId="007A3A4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4.08 </w:t>
                  </w:r>
                </w:p>
              </w:tc>
              <w:tc>
                <w:tcPr>
                  <w:tcW w:w="960" w:type="dxa"/>
                  <w:tcBorders>
                    <w:top w:val="nil"/>
                    <w:left w:val="nil"/>
                    <w:bottom w:val="single" w:sz="8" w:space="0" w:color="FFFFFF"/>
                    <w:right w:val="single" w:sz="8" w:space="0" w:color="FFFFFF"/>
                  </w:tcBorders>
                  <w:shd w:val="clear" w:color="000000" w:fill="FCD5B4"/>
                  <w:noWrap/>
                  <w:vAlign w:val="center"/>
                  <w:hideMark/>
                </w:tcPr>
                <w:p w14:paraId="6C1B9E7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4.52 </w:t>
                  </w:r>
                </w:p>
              </w:tc>
              <w:tc>
                <w:tcPr>
                  <w:tcW w:w="884" w:type="dxa"/>
                  <w:tcBorders>
                    <w:top w:val="nil"/>
                    <w:left w:val="nil"/>
                    <w:bottom w:val="single" w:sz="8" w:space="0" w:color="FFFFFF"/>
                    <w:right w:val="single" w:sz="8" w:space="0" w:color="FFFFFF"/>
                  </w:tcBorders>
                  <w:shd w:val="clear" w:color="000000" w:fill="FCD5B4"/>
                  <w:noWrap/>
                  <w:vAlign w:val="center"/>
                  <w:hideMark/>
                </w:tcPr>
                <w:p w14:paraId="7A9C580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6.74 </w:t>
                  </w:r>
                </w:p>
              </w:tc>
              <w:tc>
                <w:tcPr>
                  <w:tcW w:w="1154" w:type="dxa"/>
                  <w:tcBorders>
                    <w:top w:val="nil"/>
                    <w:left w:val="nil"/>
                    <w:bottom w:val="single" w:sz="8" w:space="0" w:color="FFFFFF"/>
                    <w:right w:val="single" w:sz="8" w:space="0" w:color="FFFFFF"/>
                  </w:tcBorders>
                  <w:shd w:val="clear" w:color="000000" w:fill="FCD5B4"/>
                  <w:noWrap/>
                  <w:vAlign w:val="center"/>
                  <w:hideMark/>
                </w:tcPr>
                <w:p w14:paraId="5AE9436E"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企业债5Y</w:t>
                  </w:r>
                </w:p>
              </w:tc>
              <w:tc>
                <w:tcPr>
                  <w:tcW w:w="841" w:type="dxa"/>
                  <w:tcBorders>
                    <w:top w:val="nil"/>
                    <w:left w:val="nil"/>
                    <w:bottom w:val="single" w:sz="8" w:space="0" w:color="FFFFFF"/>
                    <w:right w:val="single" w:sz="8" w:space="0" w:color="FFFFFF"/>
                  </w:tcBorders>
                  <w:shd w:val="clear" w:color="000000" w:fill="FCD5B4"/>
                  <w:noWrap/>
                  <w:vAlign w:val="center"/>
                  <w:hideMark/>
                </w:tcPr>
                <w:p w14:paraId="41CCB2C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0.71 </w:t>
                  </w:r>
                </w:p>
              </w:tc>
              <w:tc>
                <w:tcPr>
                  <w:tcW w:w="960" w:type="dxa"/>
                  <w:tcBorders>
                    <w:top w:val="nil"/>
                    <w:left w:val="nil"/>
                    <w:bottom w:val="single" w:sz="8" w:space="0" w:color="FFFFFF"/>
                    <w:right w:val="single" w:sz="8" w:space="0" w:color="FFFFFF"/>
                  </w:tcBorders>
                  <w:shd w:val="clear" w:color="000000" w:fill="FCD5B4"/>
                  <w:noWrap/>
                  <w:vAlign w:val="center"/>
                  <w:hideMark/>
                </w:tcPr>
                <w:p w14:paraId="64F3FBC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0.98 </w:t>
                  </w:r>
                </w:p>
              </w:tc>
              <w:tc>
                <w:tcPr>
                  <w:tcW w:w="960" w:type="dxa"/>
                  <w:tcBorders>
                    <w:top w:val="nil"/>
                    <w:left w:val="nil"/>
                    <w:bottom w:val="single" w:sz="8" w:space="0" w:color="FFFFFF"/>
                    <w:right w:val="single" w:sz="8" w:space="0" w:color="FFFFFF"/>
                  </w:tcBorders>
                  <w:shd w:val="clear" w:color="000000" w:fill="FCD5B4"/>
                  <w:noWrap/>
                  <w:vAlign w:val="center"/>
                  <w:hideMark/>
                </w:tcPr>
                <w:p w14:paraId="7F0FAA1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1.42 </w:t>
                  </w:r>
                </w:p>
              </w:tc>
              <w:tc>
                <w:tcPr>
                  <w:tcW w:w="960" w:type="dxa"/>
                  <w:tcBorders>
                    <w:top w:val="nil"/>
                    <w:left w:val="nil"/>
                    <w:bottom w:val="single" w:sz="8" w:space="0" w:color="FFFFFF"/>
                    <w:right w:val="single" w:sz="8" w:space="0" w:color="FFFFFF"/>
                  </w:tcBorders>
                  <w:shd w:val="clear" w:color="000000" w:fill="FCD5B4"/>
                  <w:noWrap/>
                  <w:vAlign w:val="center"/>
                  <w:hideMark/>
                </w:tcPr>
                <w:p w14:paraId="16FCD3D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3.64 </w:t>
                  </w:r>
                </w:p>
              </w:tc>
            </w:tr>
            <w:tr w:rsidR="009111E9" w:rsidRPr="009111E9" w14:paraId="2501900F"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3709634E"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企业债7Y</w:t>
                  </w:r>
                </w:p>
              </w:tc>
              <w:tc>
                <w:tcPr>
                  <w:tcW w:w="810" w:type="dxa"/>
                  <w:tcBorders>
                    <w:top w:val="nil"/>
                    <w:left w:val="nil"/>
                    <w:bottom w:val="single" w:sz="8" w:space="0" w:color="FFFFFF"/>
                    <w:right w:val="single" w:sz="8" w:space="0" w:color="FFFFFF"/>
                  </w:tcBorders>
                  <w:shd w:val="clear" w:color="000000" w:fill="FDE9D9"/>
                  <w:noWrap/>
                  <w:vAlign w:val="center"/>
                  <w:hideMark/>
                </w:tcPr>
                <w:p w14:paraId="7E3384C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3.91 </w:t>
                  </w:r>
                </w:p>
              </w:tc>
              <w:tc>
                <w:tcPr>
                  <w:tcW w:w="960" w:type="dxa"/>
                  <w:tcBorders>
                    <w:top w:val="nil"/>
                    <w:left w:val="nil"/>
                    <w:bottom w:val="single" w:sz="8" w:space="0" w:color="FFFFFF"/>
                    <w:right w:val="single" w:sz="8" w:space="0" w:color="FFFFFF"/>
                  </w:tcBorders>
                  <w:shd w:val="clear" w:color="000000" w:fill="FDE9D9"/>
                  <w:noWrap/>
                  <w:vAlign w:val="center"/>
                  <w:hideMark/>
                </w:tcPr>
                <w:p w14:paraId="197966D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4.18 </w:t>
                  </w:r>
                </w:p>
              </w:tc>
              <w:tc>
                <w:tcPr>
                  <w:tcW w:w="960" w:type="dxa"/>
                  <w:tcBorders>
                    <w:top w:val="nil"/>
                    <w:left w:val="nil"/>
                    <w:bottom w:val="single" w:sz="8" w:space="0" w:color="FFFFFF"/>
                    <w:right w:val="single" w:sz="8" w:space="0" w:color="FFFFFF"/>
                  </w:tcBorders>
                  <w:shd w:val="clear" w:color="000000" w:fill="FDE9D9"/>
                  <w:noWrap/>
                  <w:vAlign w:val="center"/>
                  <w:hideMark/>
                </w:tcPr>
                <w:p w14:paraId="616A0D1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4.62 </w:t>
                  </w:r>
                </w:p>
              </w:tc>
              <w:tc>
                <w:tcPr>
                  <w:tcW w:w="884" w:type="dxa"/>
                  <w:tcBorders>
                    <w:top w:val="nil"/>
                    <w:left w:val="nil"/>
                    <w:bottom w:val="single" w:sz="8" w:space="0" w:color="FFFFFF"/>
                    <w:right w:val="single" w:sz="8" w:space="0" w:color="FFFFFF"/>
                  </w:tcBorders>
                  <w:shd w:val="clear" w:color="000000" w:fill="FDE9D9"/>
                  <w:noWrap/>
                  <w:vAlign w:val="center"/>
                  <w:hideMark/>
                </w:tcPr>
                <w:p w14:paraId="3C85B2F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6.84 </w:t>
                  </w:r>
                </w:p>
              </w:tc>
              <w:tc>
                <w:tcPr>
                  <w:tcW w:w="1154" w:type="dxa"/>
                  <w:tcBorders>
                    <w:top w:val="nil"/>
                    <w:left w:val="nil"/>
                    <w:bottom w:val="single" w:sz="8" w:space="0" w:color="FFFFFF"/>
                    <w:right w:val="single" w:sz="8" w:space="0" w:color="FFFFFF"/>
                  </w:tcBorders>
                  <w:shd w:val="clear" w:color="000000" w:fill="FDE9D9"/>
                  <w:noWrap/>
                  <w:vAlign w:val="center"/>
                  <w:hideMark/>
                </w:tcPr>
                <w:p w14:paraId="702F14ED"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企业债7Y</w:t>
                  </w:r>
                </w:p>
              </w:tc>
              <w:tc>
                <w:tcPr>
                  <w:tcW w:w="841" w:type="dxa"/>
                  <w:tcBorders>
                    <w:top w:val="nil"/>
                    <w:left w:val="nil"/>
                    <w:bottom w:val="single" w:sz="8" w:space="0" w:color="FFFFFF"/>
                    <w:right w:val="single" w:sz="8" w:space="0" w:color="FFFFFF"/>
                  </w:tcBorders>
                  <w:shd w:val="clear" w:color="000000" w:fill="FDE9D9"/>
                  <w:noWrap/>
                  <w:vAlign w:val="center"/>
                  <w:hideMark/>
                </w:tcPr>
                <w:p w14:paraId="5942C39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0.68 </w:t>
                  </w:r>
                </w:p>
              </w:tc>
              <w:tc>
                <w:tcPr>
                  <w:tcW w:w="960" w:type="dxa"/>
                  <w:tcBorders>
                    <w:top w:val="nil"/>
                    <w:left w:val="nil"/>
                    <w:bottom w:val="single" w:sz="8" w:space="0" w:color="FFFFFF"/>
                    <w:right w:val="single" w:sz="8" w:space="0" w:color="FFFFFF"/>
                  </w:tcBorders>
                  <w:shd w:val="clear" w:color="000000" w:fill="FDE9D9"/>
                  <w:noWrap/>
                  <w:vAlign w:val="center"/>
                  <w:hideMark/>
                </w:tcPr>
                <w:p w14:paraId="7155EBC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0.95 </w:t>
                  </w:r>
                </w:p>
              </w:tc>
              <w:tc>
                <w:tcPr>
                  <w:tcW w:w="960" w:type="dxa"/>
                  <w:tcBorders>
                    <w:top w:val="nil"/>
                    <w:left w:val="nil"/>
                    <w:bottom w:val="single" w:sz="8" w:space="0" w:color="FFFFFF"/>
                    <w:right w:val="single" w:sz="8" w:space="0" w:color="FFFFFF"/>
                  </w:tcBorders>
                  <w:shd w:val="clear" w:color="000000" w:fill="FDE9D9"/>
                  <w:noWrap/>
                  <w:vAlign w:val="center"/>
                  <w:hideMark/>
                </w:tcPr>
                <w:p w14:paraId="08439B3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1.39 </w:t>
                  </w:r>
                </w:p>
              </w:tc>
              <w:tc>
                <w:tcPr>
                  <w:tcW w:w="960" w:type="dxa"/>
                  <w:tcBorders>
                    <w:top w:val="nil"/>
                    <w:left w:val="nil"/>
                    <w:bottom w:val="single" w:sz="8" w:space="0" w:color="FFFFFF"/>
                    <w:right w:val="single" w:sz="8" w:space="0" w:color="FFFFFF"/>
                  </w:tcBorders>
                  <w:shd w:val="clear" w:color="000000" w:fill="FDE9D9"/>
                  <w:noWrap/>
                  <w:vAlign w:val="center"/>
                  <w:hideMark/>
                </w:tcPr>
                <w:p w14:paraId="24A6907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3.61 </w:t>
                  </w:r>
                </w:p>
              </w:tc>
            </w:tr>
            <w:tr w:rsidR="009111E9" w:rsidRPr="009111E9" w14:paraId="078DD88A"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48004CF7"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3Y</w:t>
                  </w:r>
                </w:p>
              </w:tc>
              <w:tc>
                <w:tcPr>
                  <w:tcW w:w="810" w:type="dxa"/>
                  <w:tcBorders>
                    <w:top w:val="nil"/>
                    <w:left w:val="nil"/>
                    <w:bottom w:val="single" w:sz="8" w:space="0" w:color="FFFFFF"/>
                    <w:right w:val="single" w:sz="8" w:space="0" w:color="FFFFFF"/>
                  </w:tcBorders>
                  <w:shd w:val="clear" w:color="000000" w:fill="FCD5B4"/>
                  <w:noWrap/>
                  <w:vAlign w:val="center"/>
                  <w:hideMark/>
                </w:tcPr>
                <w:p w14:paraId="4E957E7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3.64 </w:t>
                  </w:r>
                </w:p>
              </w:tc>
              <w:tc>
                <w:tcPr>
                  <w:tcW w:w="960" w:type="dxa"/>
                  <w:tcBorders>
                    <w:top w:val="nil"/>
                    <w:left w:val="nil"/>
                    <w:bottom w:val="single" w:sz="8" w:space="0" w:color="FFFFFF"/>
                    <w:right w:val="single" w:sz="8" w:space="0" w:color="FFFFFF"/>
                  </w:tcBorders>
                  <w:shd w:val="clear" w:color="000000" w:fill="FCD5B4"/>
                  <w:noWrap/>
                  <w:vAlign w:val="center"/>
                  <w:hideMark/>
                </w:tcPr>
                <w:p w14:paraId="58207F4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3.83 </w:t>
                  </w:r>
                </w:p>
              </w:tc>
              <w:tc>
                <w:tcPr>
                  <w:tcW w:w="960" w:type="dxa"/>
                  <w:tcBorders>
                    <w:top w:val="nil"/>
                    <w:left w:val="nil"/>
                    <w:bottom w:val="single" w:sz="8" w:space="0" w:color="FFFFFF"/>
                    <w:right w:val="single" w:sz="8" w:space="0" w:color="FFFFFF"/>
                  </w:tcBorders>
                  <w:shd w:val="clear" w:color="000000" w:fill="FCD5B4"/>
                  <w:noWrap/>
                  <w:vAlign w:val="center"/>
                  <w:hideMark/>
                </w:tcPr>
                <w:p w14:paraId="71C0AD66"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4.05 </w:t>
                  </w:r>
                </w:p>
              </w:tc>
              <w:tc>
                <w:tcPr>
                  <w:tcW w:w="884" w:type="dxa"/>
                  <w:tcBorders>
                    <w:top w:val="nil"/>
                    <w:left w:val="nil"/>
                    <w:bottom w:val="single" w:sz="8" w:space="0" w:color="FFFFFF"/>
                    <w:right w:val="single" w:sz="8" w:space="0" w:color="FFFFFF"/>
                  </w:tcBorders>
                  <w:shd w:val="clear" w:color="000000" w:fill="FCD5B4"/>
                  <w:noWrap/>
                  <w:vAlign w:val="center"/>
                  <w:hideMark/>
                </w:tcPr>
                <w:p w14:paraId="07C908A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6.49 </w:t>
                  </w:r>
                </w:p>
              </w:tc>
              <w:tc>
                <w:tcPr>
                  <w:tcW w:w="1154" w:type="dxa"/>
                  <w:tcBorders>
                    <w:top w:val="nil"/>
                    <w:left w:val="nil"/>
                    <w:bottom w:val="single" w:sz="8" w:space="0" w:color="FFFFFF"/>
                    <w:right w:val="single" w:sz="8" w:space="0" w:color="FFFFFF"/>
                  </w:tcBorders>
                  <w:shd w:val="clear" w:color="000000" w:fill="FCD5B4"/>
                  <w:noWrap/>
                  <w:vAlign w:val="center"/>
                  <w:hideMark/>
                </w:tcPr>
                <w:p w14:paraId="465CFBF4"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3Y</w:t>
                  </w:r>
                </w:p>
              </w:tc>
              <w:tc>
                <w:tcPr>
                  <w:tcW w:w="841" w:type="dxa"/>
                  <w:tcBorders>
                    <w:top w:val="nil"/>
                    <w:left w:val="nil"/>
                    <w:bottom w:val="single" w:sz="8" w:space="0" w:color="FFFFFF"/>
                    <w:right w:val="single" w:sz="8" w:space="0" w:color="FFFFFF"/>
                  </w:tcBorders>
                  <w:shd w:val="clear" w:color="000000" w:fill="FCD5B4"/>
                  <w:noWrap/>
                  <w:vAlign w:val="center"/>
                  <w:hideMark/>
                </w:tcPr>
                <w:p w14:paraId="783A95F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0.68 </w:t>
                  </w:r>
                </w:p>
              </w:tc>
              <w:tc>
                <w:tcPr>
                  <w:tcW w:w="960" w:type="dxa"/>
                  <w:tcBorders>
                    <w:top w:val="nil"/>
                    <w:left w:val="nil"/>
                    <w:bottom w:val="single" w:sz="8" w:space="0" w:color="FFFFFF"/>
                    <w:right w:val="single" w:sz="8" w:space="0" w:color="FFFFFF"/>
                  </w:tcBorders>
                  <w:shd w:val="clear" w:color="000000" w:fill="FCD5B4"/>
                  <w:noWrap/>
                  <w:vAlign w:val="center"/>
                  <w:hideMark/>
                </w:tcPr>
                <w:p w14:paraId="7A97BB6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0.87 </w:t>
                  </w:r>
                </w:p>
              </w:tc>
              <w:tc>
                <w:tcPr>
                  <w:tcW w:w="960" w:type="dxa"/>
                  <w:tcBorders>
                    <w:top w:val="nil"/>
                    <w:left w:val="nil"/>
                    <w:bottom w:val="single" w:sz="8" w:space="0" w:color="FFFFFF"/>
                    <w:right w:val="single" w:sz="8" w:space="0" w:color="FFFFFF"/>
                  </w:tcBorders>
                  <w:shd w:val="clear" w:color="000000" w:fill="FCD5B4"/>
                  <w:noWrap/>
                  <w:vAlign w:val="center"/>
                  <w:hideMark/>
                </w:tcPr>
                <w:p w14:paraId="29FE6CA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1.09 </w:t>
                  </w:r>
                </w:p>
              </w:tc>
              <w:tc>
                <w:tcPr>
                  <w:tcW w:w="960" w:type="dxa"/>
                  <w:tcBorders>
                    <w:top w:val="nil"/>
                    <w:left w:val="nil"/>
                    <w:bottom w:val="single" w:sz="8" w:space="0" w:color="FFFFFF"/>
                    <w:right w:val="single" w:sz="8" w:space="0" w:color="FFFFFF"/>
                  </w:tcBorders>
                  <w:shd w:val="clear" w:color="000000" w:fill="FCD5B4"/>
                  <w:noWrap/>
                  <w:vAlign w:val="center"/>
                  <w:hideMark/>
                </w:tcPr>
                <w:p w14:paraId="209B796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3.53 </w:t>
                  </w:r>
                </w:p>
              </w:tc>
            </w:tr>
            <w:tr w:rsidR="009111E9" w:rsidRPr="009111E9" w14:paraId="1B2314CD"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67B8D15D"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5Y</w:t>
                  </w:r>
                </w:p>
              </w:tc>
              <w:tc>
                <w:tcPr>
                  <w:tcW w:w="810" w:type="dxa"/>
                  <w:tcBorders>
                    <w:top w:val="nil"/>
                    <w:left w:val="nil"/>
                    <w:bottom w:val="single" w:sz="8" w:space="0" w:color="FFFFFF"/>
                    <w:right w:val="single" w:sz="8" w:space="0" w:color="FFFFFF"/>
                  </w:tcBorders>
                  <w:shd w:val="clear" w:color="000000" w:fill="FDE9D9"/>
                  <w:noWrap/>
                  <w:vAlign w:val="center"/>
                  <w:hideMark/>
                </w:tcPr>
                <w:p w14:paraId="3844D59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3.88 </w:t>
                  </w:r>
                </w:p>
              </w:tc>
              <w:tc>
                <w:tcPr>
                  <w:tcW w:w="960" w:type="dxa"/>
                  <w:tcBorders>
                    <w:top w:val="nil"/>
                    <w:left w:val="nil"/>
                    <w:bottom w:val="single" w:sz="8" w:space="0" w:color="FFFFFF"/>
                    <w:right w:val="single" w:sz="8" w:space="0" w:color="FFFFFF"/>
                  </w:tcBorders>
                  <w:shd w:val="clear" w:color="000000" w:fill="FDE9D9"/>
                  <w:noWrap/>
                  <w:vAlign w:val="center"/>
                  <w:hideMark/>
                </w:tcPr>
                <w:p w14:paraId="43C2146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4.15 </w:t>
                  </w:r>
                </w:p>
              </w:tc>
              <w:tc>
                <w:tcPr>
                  <w:tcW w:w="960" w:type="dxa"/>
                  <w:tcBorders>
                    <w:top w:val="nil"/>
                    <w:left w:val="nil"/>
                    <w:bottom w:val="single" w:sz="8" w:space="0" w:color="FFFFFF"/>
                    <w:right w:val="single" w:sz="8" w:space="0" w:color="FFFFFF"/>
                  </w:tcBorders>
                  <w:shd w:val="clear" w:color="000000" w:fill="FDE9D9"/>
                  <w:noWrap/>
                  <w:vAlign w:val="center"/>
                  <w:hideMark/>
                </w:tcPr>
                <w:p w14:paraId="0794E55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4.58 </w:t>
                  </w:r>
                </w:p>
              </w:tc>
              <w:tc>
                <w:tcPr>
                  <w:tcW w:w="884" w:type="dxa"/>
                  <w:tcBorders>
                    <w:top w:val="nil"/>
                    <w:left w:val="nil"/>
                    <w:bottom w:val="single" w:sz="8" w:space="0" w:color="FFFFFF"/>
                    <w:right w:val="single" w:sz="8" w:space="0" w:color="FFFFFF"/>
                  </w:tcBorders>
                  <w:shd w:val="clear" w:color="000000" w:fill="FDE9D9"/>
                  <w:noWrap/>
                  <w:vAlign w:val="center"/>
                  <w:hideMark/>
                </w:tcPr>
                <w:p w14:paraId="762F3077"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7.25 </w:t>
                  </w:r>
                </w:p>
              </w:tc>
              <w:tc>
                <w:tcPr>
                  <w:tcW w:w="1154" w:type="dxa"/>
                  <w:tcBorders>
                    <w:top w:val="nil"/>
                    <w:left w:val="nil"/>
                    <w:bottom w:val="single" w:sz="8" w:space="0" w:color="FFFFFF"/>
                    <w:right w:val="single" w:sz="8" w:space="0" w:color="FFFFFF"/>
                  </w:tcBorders>
                  <w:shd w:val="clear" w:color="000000" w:fill="FDE9D9"/>
                  <w:noWrap/>
                  <w:vAlign w:val="center"/>
                  <w:hideMark/>
                </w:tcPr>
                <w:p w14:paraId="0B633AB9"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5Y</w:t>
                  </w:r>
                </w:p>
              </w:tc>
              <w:tc>
                <w:tcPr>
                  <w:tcW w:w="841" w:type="dxa"/>
                  <w:tcBorders>
                    <w:top w:val="nil"/>
                    <w:left w:val="nil"/>
                    <w:bottom w:val="single" w:sz="8" w:space="0" w:color="FFFFFF"/>
                    <w:right w:val="single" w:sz="8" w:space="0" w:color="FFFFFF"/>
                  </w:tcBorders>
                  <w:shd w:val="clear" w:color="000000" w:fill="FDE9D9"/>
                  <w:noWrap/>
                  <w:vAlign w:val="center"/>
                  <w:hideMark/>
                </w:tcPr>
                <w:p w14:paraId="78D0777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0.78 </w:t>
                  </w:r>
                </w:p>
              </w:tc>
              <w:tc>
                <w:tcPr>
                  <w:tcW w:w="960" w:type="dxa"/>
                  <w:tcBorders>
                    <w:top w:val="nil"/>
                    <w:left w:val="nil"/>
                    <w:bottom w:val="single" w:sz="8" w:space="0" w:color="FFFFFF"/>
                    <w:right w:val="single" w:sz="8" w:space="0" w:color="FFFFFF"/>
                  </w:tcBorders>
                  <w:shd w:val="clear" w:color="000000" w:fill="FDE9D9"/>
                  <w:noWrap/>
                  <w:vAlign w:val="center"/>
                  <w:hideMark/>
                </w:tcPr>
                <w:p w14:paraId="7084DDA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1.05 </w:t>
                  </w:r>
                </w:p>
              </w:tc>
              <w:tc>
                <w:tcPr>
                  <w:tcW w:w="960" w:type="dxa"/>
                  <w:tcBorders>
                    <w:top w:val="nil"/>
                    <w:left w:val="nil"/>
                    <w:bottom w:val="single" w:sz="8" w:space="0" w:color="FFFFFF"/>
                    <w:right w:val="single" w:sz="8" w:space="0" w:color="FFFFFF"/>
                  </w:tcBorders>
                  <w:shd w:val="clear" w:color="000000" w:fill="FDE9D9"/>
                  <w:noWrap/>
                  <w:vAlign w:val="center"/>
                  <w:hideMark/>
                </w:tcPr>
                <w:p w14:paraId="343881E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1.48 </w:t>
                  </w:r>
                </w:p>
              </w:tc>
              <w:tc>
                <w:tcPr>
                  <w:tcW w:w="960" w:type="dxa"/>
                  <w:tcBorders>
                    <w:top w:val="nil"/>
                    <w:left w:val="nil"/>
                    <w:bottom w:val="single" w:sz="8" w:space="0" w:color="FFFFFF"/>
                    <w:right w:val="single" w:sz="8" w:space="0" w:color="FFFFFF"/>
                  </w:tcBorders>
                  <w:shd w:val="clear" w:color="000000" w:fill="FDE9D9"/>
                  <w:noWrap/>
                  <w:vAlign w:val="center"/>
                  <w:hideMark/>
                </w:tcPr>
                <w:p w14:paraId="76DD195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4.15 </w:t>
                  </w:r>
                </w:p>
              </w:tc>
            </w:tr>
            <w:tr w:rsidR="009111E9" w:rsidRPr="009111E9" w14:paraId="76D54B13" w14:textId="77777777" w:rsidTr="009111E9">
              <w:trPr>
                <w:trHeight w:val="385"/>
              </w:trPr>
              <w:tc>
                <w:tcPr>
                  <w:tcW w:w="1334" w:type="dxa"/>
                  <w:tcBorders>
                    <w:top w:val="nil"/>
                    <w:left w:val="nil"/>
                    <w:bottom w:val="nil"/>
                    <w:right w:val="nil"/>
                  </w:tcBorders>
                  <w:shd w:val="clear" w:color="000000" w:fill="FCD5B4"/>
                  <w:noWrap/>
                  <w:vAlign w:val="center"/>
                  <w:hideMark/>
                </w:tcPr>
                <w:p w14:paraId="2BE1B472"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7Y</w:t>
                  </w:r>
                </w:p>
              </w:tc>
              <w:tc>
                <w:tcPr>
                  <w:tcW w:w="810" w:type="dxa"/>
                  <w:tcBorders>
                    <w:top w:val="nil"/>
                    <w:left w:val="nil"/>
                    <w:bottom w:val="single" w:sz="8" w:space="0" w:color="FFFFFF"/>
                    <w:right w:val="single" w:sz="8" w:space="0" w:color="FFFFFF"/>
                  </w:tcBorders>
                  <w:shd w:val="clear" w:color="000000" w:fill="FCD5B4"/>
                  <w:noWrap/>
                  <w:vAlign w:val="center"/>
                  <w:hideMark/>
                </w:tcPr>
                <w:p w14:paraId="0CD4473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4.04 </w:t>
                  </w:r>
                </w:p>
              </w:tc>
              <w:tc>
                <w:tcPr>
                  <w:tcW w:w="960" w:type="dxa"/>
                  <w:tcBorders>
                    <w:top w:val="nil"/>
                    <w:left w:val="nil"/>
                    <w:bottom w:val="single" w:sz="8" w:space="0" w:color="FFFFFF"/>
                    <w:right w:val="single" w:sz="8" w:space="0" w:color="FFFFFF"/>
                  </w:tcBorders>
                  <w:shd w:val="clear" w:color="000000" w:fill="FCD5B4"/>
                  <w:noWrap/>
                  <w:vAlign w:val="center"/>
                  <w:hideMark/>
                </w:tcPr>
                <w:p w14:paraId="46BBEB1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4.39 </w:t>
                  </w:r>
                </w:p>
              </w:tc>
              <w:tc>
                <w:tcPr>
                  <w:tcW w:w="960" w:type="dxa"/>
                  <w:tcBorders>
                    <w:top w:val="nil"/>
                    <w:left w:val="nil"/>
                    <w:bottom w:val="single" w:sz="8" w:space="0" w:color="FFFFFF"/>
                    <w:right w:val="single" w:sz="8" w:space="0" w:color="FFFFFF"/>
                  </w:tcBorders>
                  <w:shd w:val="clear" w:color="000000" w:fill="FCD5B4"/>
                  <w:noWrap/>
                  <w:vAlign w:val="center"/>
                  <w:hideMark/>
                </w:tcPr>
                <w:p w14:paraId="32374F8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4.83 </w:t>
                  </w:r>
                </w:p>
              </w:tc>
              <w:tc>
                <w:tcPr>
                  <w:tcW w:w="884" w:type="dxa"/>
                  <w:tcBorders>
                    <w:top w:val="nil"/>
                    <w:left w:val="nil"/>
                    <w:bottom w:val="single" w:sz="8" w:space="0" w:color="FFFFFF"/>
                    <w:right w:val="single" w:sz="8" w:space="0" w:color="FFFFFF"/>
                  </w:tcBorders>
                  <w:shd w:val="clear" w:color="000000" w:fill="FCD5B4"/>
                  <w:noWrap/>
                  <w:vAlign w:val="center"/>
                  <w:hideMark/>
                </w:tcPr>
                <w:p w14:paraId="0EF2333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7.52 </w:t>
                  </w:r>
                </w:p>
              </w:tc>
              <w:tc>
                <w:tcPr>
                  <w:tcW w:w="1154" w:type="dxa"/>
                  <w:tcBorders>
                    <w:top w:val="nil"/>
                    <w:left w:val="nil"/>
                    <w:bottom w:val="nil"/>
                    <w:right w:val="nil"/>
                  </w:tcBorders>
                  <w:shd w:val="clear" w:color="000000" w:fill="FCD5B4"/>
                  <w:noWrap/>
                  <w:vAlign w:val="center"/>
                  <w:hideMark/>
                </w:tcPr>
                <w:p w14:paraId="7CA3FB5A"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7Y</w:t>
                  </w:r>
                </w:p>
              </w:tc>
              <w:tc>
                <w:tcPr>
                  <w:tcW w:w="841" w:type="dxa"/>
                  <w:tcBorders>
                    <w:top w:val="nil"/>
                    <w:left w:val="nil"/>
                    <w:bottom w:val="single" w:sz="8" w:space="0" w:color="FFFFFF"/>
                    <w:right w:val="single" w:sz="8" w:space="0" w:color="FFFFFF"/>
                  </w:tcBorders>
                  <w:shd w:val="clear" w:color="000000" w:fill="FCD5B4"/>
                  <w:noWrap/>
                  <w:vAlign w:val="center"/>
                  <w:hideMark/>
                </w:tcPr>
                <w:p w14:paraId="39EEB03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0.81 </w:t>
                  </w:r>
                </w:p>
              </w:tc>
              <w:tc>
                <w:tcPr>
                  <w:tcW w:w="960" w:type="dxa"/>
                  <w:tcBorders>
                    <w:top w:val="nil"/>
                    <w:left w:val="nil"/>
                    <w:bottom w:val="single" w:sz="8" w:space="0" w:color="FFFFFF"/>
                    <w:right w:val="single" w:sz="8" w:space="0" w:color="FFFFFF"/>
                  </w:tcBorders>
                  <w:shd w:val="clear" w:color="000000" w:fill="FCD5B4"/>
                  <w:noWrap/>
                  <w:vAlign w:val="center"/>
                  <w:hideMark/>
                </w:tcPr>
                <w:p w14:paraId="14EC20C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1.16 </w:t>
                  </w:r>
                </w:p>
              </w:tc>
              <w:tc>
                <w:tcPr>
                  <w:tcW w:w="960" w:type="dxa"/>
                  <w:tcBorders>
                    <w:top w:val="nil"/>
                    <w:left w:val="nil"/>
                    <w:bottom w:val="single" w:sz="8" w:space="0" w:color="FFFFFF"/>
                    <w:right w:val="single" w:sz="8" w:space="0" w:color="FFFFFF"/>
                  </w:tcBorders>
                  <w:shd w:val="clear" w:color="000000" w:fill="FCD5B4"/>
                  <w:noWrap/>
                  <w:vAlign w:val="center"/>
                  <w:hideMark/>
                </w:tcPr>
                <w:p w14:paraId="41B32FF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1.60 </w:t>
                  </w:r>
                </w:p>
              </w:tc>
              <w:tc>
                <w:tcPr>
                  <w:tcW w:w="960" w:type="dxa"/>
                  <w:tcBorders>
                    <w:top w:val="nil"/>
                    <w:left w:val="nil"/>
                    <w:bottom w:val="single" w:sz="8" w:space="0" w:color="FFFFFF"/>
                    <w:right w:val="single" w:sz="8" w:space="0" w:color="FFFFFF"/>
                  </w:tcBorders>
                  <w:shd w:val="clear" w:color="000000" w:fill="FCD5B4"/>
                  <w:noWrap/>
                  <w:vAlign w:val="center"/>
                  <w:hideMark/>
                </w:tcPr>
                <w:p w14:paraId="1244DCB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4.29 </w:t>
                  </w:r>
                </w:p>
              </w:tc>
            </w:tr>
            <w:tr w:rsidR="009111E9" w:rsidRPr="009111E9" w14:paraId="04E6EF33" w14:textId="77777777" w:rsidTr="009111E9">
              <w:trPr>
                <w:trHeight w:val="198"/>
              </w:trPr>
              <w:tc>
                <w:tcPr>
                  <w:tcW w:w="1334" w:type="dxa"/>
                  <w:tcBorders>
                    <w:top w:val="nil"/>
                    <w:left w:val="nil"/>
                    <w:bottom w:val="nil"/>
                    <w:right w:val="nil"/>
                  </w:tcBorders>
                  <w:shd w:val="clear" w:color="auto" w:fill="auto"/>
                  <w:noWrap/>
                  <w:vAlign w:val="center"/>
                  <w:hideMark/>
                </w:tcPr>
                <w:p w14:paraId="6FAE00E0" w14:textId="77777777" w:rsidR="009111E9" w:rsidRPr="009111E9" w:rsidRDefault="009111E9" w:rsidP="009111E9">
                  <w:pPr>
                    <w:widowControl/>
                    <w:jc w:val="center"/>
                    <w:rPr>
                      <w:rFonts w:eastAsia="等线" w:cs="Calibri"/>
                      <w:color w:val="000000"/>
                      <w:kern w:val="0"/>
                      <w:szCs w:val="21"/>
                    </w:rPr>
                  </w:pPr>
                </w:p>
              </w:tc>
              <w:tc>
                <w:tcPr>
                  <w:tcW w:w="810" w:type="dxa"/>
                  <w:tcBorders>
                    <w:top w:val="nil"/>
                    <w:left w:val="nil"/>
                    <w:bottom w:val="nil"/>
                    <w:right w:val="nil"/>
                  </w:tcBorders>
                  <w:shd w:val="clear" w:color="auto" w:fill="auto"/>
                  <w:noWrap/>
                  <w:vAlign w:val="center"/>
                  <w:hideMark/>
                </w:tcPr>
                <w:p w14:paraId="01647DA7"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07350EEB"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1989F709" w14:textId="77777777" w:rsidR="009111E9" w:rsidRPr="009111E9" w:rsidRDefault="009111E9" w:rsidP="009111E9">
                  <w:pPr>
                    <w:widowControl/>
                    <w:jc w:val="center"/>
                    <w:rPr>
                      <w:rFonts w:ascii="Times New Roman" w:eastAsia="Times New Roman" w:hAnsi="Times New Roman"/>
                      <w:kern w:val="0"/>
                      <w:sz w:val="20"/>
                      <w:szCs w:val="20"/>
                    </w:rPr>
                  </w:pPr>
                </w:p>
              </w:tc>
              <w:tc>
                <w:tcPr>
                  <w:tcW w:w="884" w:type="dxa"/>
                  <w:tcBorders>
                    <w:top w:val="nil"/>
                    <w:left w:val="nil"/>
                    <w:bottom w:val="nil"/>
                    <w:right w:val="nil"/>
                  </w:tcBorders>
                  <w:shd w:val="clear" w:color="auto" w:fill="auto"/>
                  <w:noWrap/>
                  <w:vAlign w:val="center"/>
                  <w:hideMark/>
                </w:tcPr>
                <w:p w14:paraId="5CD6D2F2" w14:textId="77777777" w:rsidR="009111E9" w:rsidRPr="009111E9" w:rsidRDefault="009111E9" w:rsidP="009111E9">
                  <w:pPr>
                    <w:widowControl/>
                    <w:jc w:val="center"/>
                    <w:rPr>
                      <w:rFonts w:ascii="Times New Roman" w:eastAsia="Times New Roman" w:hAnsi="Times New Roman"/>
                      <w:kern w:val="0"/>
                      <w:sz w:val="20"/>
                      <w:szCs w:val="20"/>
                    </w:rPr>
                  </w:pPr>
                </w:p>
              </w:tc>
              <w:tc>
                <w:tcPr>
                  <w:tcW w:w="1154" w:type="dxa"/>
                  <w:tcBorders>
                    <w:top w:val="nil"/>
                    <w:left w:val="nil"/>
                    <w:bottom w:val="nil"/>
                    <w:right w:val="nil"/>
                  </w:tcBorders>
                  <w:shd w:val="clear" w:color="auto" w:fill="auto"/>
                  <w:noWrap/>
                  <w:vAlign w:val="center"/>
                  <w:hideMark/>
                </w:tcPr>
                <w:p w14:paraId="386778BA" w14:textId="77777777" w:rsidR="009111E9" w:rsidRPr="009111E9" w:rsidRDefault="009111E9" w:rsidP="009111E9">
                  <w:pPr>
                    <w:widowControl/>
                    <w:jc w:val="center"/>
                    <w:rPr>
                      <w:rFonts w:ascii="Times New Roman" w:eastAsia="Times New Roman" w:hAnsi="Times New Roman"/>
                      <w:kern w:val="0"/>
                      <w:sz w:val="20"/>
                      <w:szCs w:val="20"/>
                    </w:rPr>
                  </w:pPr>
                </w:p>
              </w:tc>
              <w:tc>
                <w:tcPr>
                  <w:tcW w:w="841" w:type="dxa"/>
                  <w:tcBorders>
                    <w:top w:val="nil"/>
                    <w:left w:val="nil"/>
                    <w:bottom w:val="nil"/>
                    <w:right w:val="nil"/>
                  </w:tcBorders>
                  <w:shd w:val="clear" w:color="auto" w:fill="auto"/>
                  <w:noWrap/>
                  <w:vAlign w:val="center"/>
                  <w:hideMark/>
                </w:tcPr>
                <w:p w14:paraId="748F3B74"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35E8C0B6"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3D35CB6D"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53C9EF1C" w14:textId="77777777" w:rsidR="009111E9" w:rsidRPr="009111E9" w:rsidRDefault="009111E9" w:rsidP="009111E9">
                  <w:pPr>
                    <w:widowControl/>
                    <w:jc w:val="center"/>
                    <w:rPr>
                      <w:rFonts w:ascii="Times New Roman" w:eastAsia="Times New Roman" w:hAnsi="Times New Roman"/>
                      <w:kern w:val="0"/>
                      <w:sz w:val="20"/>
                      <w:szCs w:val="20"/>
                    </w:rPr>
                  </w:pPr>
                </w:p>
              </w:tc>
            </w:tr>
            <w:tr w:rsidR="009111E9" w:rsidRPr="009111E9" w14:paraId="067EB465" w14:textId="77777777" w:rsidTr="009111E9">
              <w:trPr>
                <w:trHeight w:val="385"/>
              </w:trPr>
              <w:tc>
                <w:tcPr>
                  <w:tcW w:w="1334" w:type="dxa"/>
                  <w:tcBorders>
                    <w:top w:val="nil"/>
                    <w:left w:val="nil"/>
                    <w:bottom w:val="single" w:sz="12" w:space="0" w:color="FFFFFF"/>
                    <w:right w:val="single" w:sz="8" w:space="0" w:color="FFFFFF"/>
                  </w:tcBorders>
                  <w:shd w:val="clear" w:color="000000" w:fill="F79646"/>
                  <w:noWrap/>
                  <w:vAlign w:val="center"/>
                  <w:hideMark/>
                </w:tcPr>
                <w:p w14:paraId="2A732BD4" w14:textId="77777777" w:rsidR="009111E9" w:rsidRPr="009111E9" w:rsidRDefault="009111E9" w:rsidP="009111E9">
                  <w:pPr>
                    <w:widowControl/>
                    <w:jc w:val="center"/>
                    <w:rPr>
                      <w:rFonts w:ascii="楷体" w:eastAsia="楷体" w:hAnsi="楷体" w:cs="宋体"/>
                      <w:b/>
                      <w:bCs/>
                      <w:color w:val="FFFFFF"/>
                      <w:kern w:val="0"/>
                      <w:sz w:val="20"/>
                      <w:szCs w:val="20"/>
                    </w:rPr>
                  </w:pPr>
                  <w:proofErr w:type="gramStart"/>
                  <w:r w:rsidRPr="009111E9">
                    <w:rPr>
                      <w:rFonts w:ascii="楷体" w:eastAsia="楷体" w:hAnsi="楷体" w:cs="宋体" w:hint="eastAsia"/>
                      <w:b/>
                      <w:bCs/>
                      <w:color w:val="FFFFFF"/>
                      <w:kern w:val="0"/>
                      <w:sz w:val="20"/>
                      <w:szCs w:val="20"/>
                    </w:rPr>
                    <w:t>周变化</w:t>
                  </w:r>
                  <w:proofErr w:type="gramEnd"/>
                  <w:r w:rsidRPr="009111E9">
                    <w:rPr>
                      <w:rFonts w:ascii="楷体" w:eastAsia="楷体" w:hAnsi="楷体" w:cs="宋体" w:hint="eastAsia"/>
                      <w:b/>
                      <w:bCs/>
                      <w:color w:val="FFFFFF"/>
                      <w:kern w:val="0"/>
                      <w:sz w:val="20"/>
                      <w:szCs w:val="20"/>
                    </w:rPr>
                    <w:t>(BP)</w:t>
                  </w:r>
                </w:p>
              </w:tc>
              <w:tc>
                <w:tcPr>
                  <w:tcW w:w="810" w:type="dxa"/>
                  <w:tcBorders>
                    <w:top w:val="nil"/>
                    <w:left w:val="nil"/>
                    <w:bottom w:val="single" w:sz="12" w:space="0" w:color="FFFFFF"/>
                    <w:right w:val="single" w:sz="8" w:space="0" w:color="FFFFFF"/>
                  </w:tcBorders>
                  <w:shd w:val="clear" w:color="000000" w:fill="F79646"/>
                  <w:noWrap/>
                  <w:vAlign w:val="center"/>
                  <w:hideMark/>
                </w:tcPr>
                <w:p w14:paraId="1F65359D"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08C69A76"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46204CDA"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884" w:type="dxa"/>
                  <w:tcBorders>
                    <w:top w:val="nil"/>
                    <w:left w:val="nil"/>
                    <w:bottom w:val="single" w:sz="12" w:space="0" w:color="FFFFFF"/>
                    <w:right w:val="single" w:sz="8" w:space="0" w:color="FFFFFF"/>
                  </w:tcBorders>
                  <w:shd w:val="clear" w:color="000000" w:fill="F79646"/>
                  <w:noWrap/>
                  <w:vAlign w:val="center"/>
                  <w:hideMark/>
                </w:tcPr>
                <w:p w14:paraId="60311292"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1154" w:type="dxa"/>
                  <w:tcBorders>
                    <w:top w:val="nil"/>
                    <w:left w:val="nil"/>
                    <w:bottom w:val="single" w:sz="12" w:space="0" w:color="FFFFFF"/>
                    <w:right w:val="single" w:sz="8" w:space="0" w:color="FFFFFF"/>
                  </w:tcBorders>
                  <w:shd w:val="clear" w:color="000000" w:fill="F79646"/>
                  <w:noWrap/>
                  <w:vAlign w:val="center"/>
                  <w:hideMark/>
                </w:tcPr>
                <w:p w14:paraId="55A260E6"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息差</w:t>
                  </w:r>
                </w:p>
              </w:tc>
              <w:tc>
                <w:tcPr>
                  <w:tcW w:w="841" w:type="dxa"/>
                  <w:tcBorders>
                    <w:top w:val="nil"/>
                    <w:left w:val="nil"/>
                    <w:bottom w:val="single" w:sz="12" w:space="0" w:color="FFFFFF"/>
                    <w:right w:val="single" w:sz="8" w:space="0" w:color="FFFFFF"/>
                  </w:tcBorders>
                  <w:shd w:val="clear" w:color="000000" w:fill="F79646"/>
                  <w:noWrap/>
                  <w:vAlign w:val="center"/>
                  <w:hideMark/>
                </w:tcPr>
                <w:p w14:paraId="516C4D0B"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42D471A4"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6B1887D4"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271FB565"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r>
            <w:tr w:rsidR="009111E9" w:rsidRPr="009111E9" w14:paraId="6678925C" w14:textId="77777777" w:rsidTr="009111E9">
              <w:trPr>
                <w:trHeight w:val="397"/>
              </w:trPr>
              <w:tc>
                <w:tcPr>
                  <w:tcW w:w="1334" w:type="dxa"/>
                  <w:tcBorders>
                    <w:top w:val="nil"/>
                    <w:left w:val="nil"/>
                    <w:bottom w:val="single" w:sz="8" w:space="0" w:color="FFFFFF"/>
                    <w:right w:val="single" w:sz="8" w:space="0" w:color="FFFFFF"/>
                  </w:tcBorders>
                  <w:shd w:val="clear" w:color="000000" w:fill="FCD5B4"/>
                  <w:noWrap/>
                  <w:vAlign w:val="center"/>
                  <w:hideMark/>
                </w:tcPr>
                <w:p w14:paraId="45DB2BDB"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CP</w:t>
                  </w:r>
                </w:p>
              </w:tc>
              <w:tc>
                <w:tcPr>
                  <w:tcW w:w="810" w:type="dxa"/>
                  <w:tcBorders>
                    <w:top w:val="nil"/>
                    <w:left w:val="nil"/>
                    <w:bottom w:val="single" w:sz="8" w:space="0" w:color="FFFFFF"/>
                    <w:right w:val="single" w:sz="8" w:space="0" w:color="FFFFFF"/>
                  </w:tcBorders>
                  <w:shd w:val="clear" w:color="000000" w:fill="FCD5B4"/>
                  <w:noWrap/>
                  <w:vAlign w:val="center"/>
                  <w:hideMark/>
                </w:tcPr>
                <w:p w14:paraId="042E4E0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-1.5 </w:t>
                  </w:r>
                </w:p>
              </w:tc>
              <w:tc>
                <w:tcPr>
                  <w:tcW w:w="960" w:type="dxa"/>
                  <w:tcBorders>
                    <w:top w:val="nil"/>
                    <w:left w:val="nil"/>
                    <w:bottom w:val="single" w:sz="8" w:space="0" w:color="FFFFFF"/>
                    <w:right w:val="single" w:sz="8" w:space="0" w:color="FFFFFF"/>
                  </w:tcBorders>
                  <w:shd w:val="clear" w:color="000000" w:fill="FCD5B4"/>
                  <w:noWrap/>
                  <w:vAlign w:val="center"/>
                  <w:hideMark/>
                </w:tcPr>
                <w:p w14:paraId="7F72F68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-3.5 </w:t>
                  </w:r>
                </w:p>
              </w:tc>
              <w:tc>
                <w:tcPr>
                  <w:tcW w:w="960" w:type="dxa"/>
                  <w:tcBorders>
                    <w:top w:val="nil"/>
                    <w:left w:val="nil"/>
                    <w:bottom w:val="single" w:sz="8" w:space="0" w:color="FFFFFF"/>
                    <w:right w:val="single" w:sz="8" w:space="0" w:color="FFFFFF"/>
                  </w:tcBorders>
                  <w:shd w:val="clear" w:color="000000" w:fill="FCD5B4"/>
                  <w:noWrap/>
                  <w:vAlign w:val="center"/>
                  <w:hideMark/>
                </w:tcPr>
                <w:p w14:paraId="78681FB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-0.5 </w:t>
                  </w:r>
                </w:p>
              </w:tc>
              <w:tc>
                <w:tcPr>
                  <w:tcW w:w="884" w:type="dxa"/>
                  <w:tcBorders>
                    <w:top w:val="nil"/>
                    <w:left w:val="nil"/>
                    <w:bottom w:val="single" w:sz="8" w:space="0" w:color="FFFFFF"/>
                    <w:right w:val="single" w:sz="8" w:space="0" w:color="FFFFFF"/>
                  </w:tcBorders>
                  <w:shd w:val="clear" w:color="000000" w:fill="FCD5B4"/>
                  <w:noWrap/>
                  <w:vAlign w:val="center"/>
                  <w:hideMark/>
                </w:tcPr>
                <w:p w14:paraId="4D956966"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-0.5 </w:t>
                  </w:r>
                </w:p>
              </w:tc>
              <w:tc>
                <w:tcPr>
                  <w:tcW w:w="1154" w:type="dxa"/>
                  <w:tcBorders>
                    <w:top w:val="nil"/>
                    <w:left w:val="nil"/>
                    <w:bottom w:val="single" w:sz="8" w:space="0" w:color="FFFFFF"/>
                    <w:right w:val="single" w:sz="8" w:space="0" w:color="FFFFFF"/>
                  </w:tcBorders>
                  <w:shd w:val="clear" w:color="000000" w:fill="FCD5B4"/>
                  <w:noWrap/>
                  <w:vAlign w:val="center"/>
                  <w:hideMark/>
                </w:tcPr>
                <w:p w14:paraId="77F957A0"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CP</w:t>
                  </w:r>
                </w:p>
              </w:tc>
              <w:tc>
                <w:tcPr>
                  <w:tcW w:w="841" w:type="dxa"/>
                  <w:tcBorders>
                    <w:top w:val="nil"/>
                    <w:left w:val="nil"/>
                    <w:bottom w:val="single" w:sz="8" w:space="0" w:color="FFFFFF"/>
                    <w:right w:val="single" w:sz="8" w:space="0" w:color="FFFFFF"/>
                  </w:tcBorders>
                  <w:shd w:val="clear" w:color="000000" w:fill="FCD5B4"/>
                  <w:noWrap/>
                  <w:vAlign w:val="center"/>
                  <w:hideMark/>
                </w:tcPr>
                <w:p w14:paraId="33A392B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-1.7 </w:t>
                  </w:r>
                </w:p>
              </w:tc>
              <w:tc>
                <w:tcPr>
                  <w:tcW w:w="960" w:type="dxa"/>
                  <w:tcBorders>
                    <w:top w:val="nil"/>
                    <w:left w:val="nil"/>
                    <w:bottom w:val="single" w:sz="8" w:space="0" w:color="FFFFFF"/>
                    <w:right w:val="single" w:sz="8" w:space="0" w:color="FFFFFF"/>
                  </w:tcBorders>
                  <w:shd w:val="clear" w:color="000000" w:fill="FCD5B4"/>
                  <w:noWrap/>
                  <w:vAlign w:val="center"/>
                  <w:hideMark/>
                </w:tcPr>
                <w:p w14:paraId="253FEDB7"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-3.7 </w:t>
                  </w:r>
                </w:p>
              </w:tc>
              <w:tc>
                <w:tcPr>
                  <w:tcW w:w="960" w:type="dxa"/>
                  <w:tcBorders>
                    <w:top w:val="nil"/>
                    <w:left w:val="nil"/>
                    <w:bottom w:val="single" w:sz="8" w:space="0" w:color="FFFFFF"/>
                    <w:right w:val="single" w:sz="8" w:space="0" w:color="FFFFFF"/>
                  </w:tcBorders>
                  <w:shd w:val="clear" w:color="000000" w:fill="FCD5B4"/>
                  <w:noWrap/>
                  <w:vAlign w:val="center"/>
                  <w:hideMark/>
                </w:tcPr>
                <w:p w14:paraId="208F55A8"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-0.7 </w:t>
                  </w:r>
                </w:p>
              </w:tc>
              <w:tc>
                <w:tcPr>
                  <w:tcW w:w="960" w:type="dxa"/>
                  <w:tcBorders>
                    <w:top w:val="nil"/>
                    <w:left w:val="nil"/>
                    <w:bottom w:val="single" w:sz="8" w:space="0" w:color="FFFFFF"/>
                    <w:right w:val="single" w:sz="8" w:space="0" w:color="FFFFFF"/>
                  </w:tcBorders>
                  <w:shd w:val="clear" w:color="000000" w:fill="FCD5B4"/>
                  <w:noWrap/>
                  <w:vAlign w:val="center"/>
                  <w:hideMark/>
                </w:tcPr>
                <w:p w14:paraId="35D5CF2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-0.7 </w:t>
                  </w:r>
                </w:p>
              </w:tc>
            </w:tr>
            <w:tr w:rsidR="009111E9" w:rsidRPr="009111E9" w14:paraId="2261D5B2"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3A93BE0C"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MTN3Y</w:t>
                  </w:r>
                </w:p>
              </w:tc>
              <w:tc>
                <w:tcPr>
                  <w:tcW w:w="810" w:type="dxa"/>
                  <w:tcBorders>
                    <w:top w:val="nil"/>
                    <w:left w:val="nil"/>
                    <w:bottom w:val="single" w:sz="8" w:space="0" w:color="FFFFFF"/>
                    <w:right w:val="single" w:sz="8" w:space="0" w:color="FFFFFF"/>
                  </w:tcBorders>
                  <w:shd w:val="clear" w:color="000000" w:fill="FDE9D9"/>
                  <w:noWrap/>
                  <w:vAlign w:val="center"/>
                  <w:hideMark/>
                </w:tcPr>
                <w:p w14:paraId="50EE980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0.4 </w:t>
                  </w:r>
                </w:p>
              </w:tc>
              <w:tc>
                <w:tcPr>
                  <w:tcW w:w="960" w:type="dxa"/>
                  <w:tcBorders>
                    <w:top w:val="nil"/>
                    <w:left w:val="nil"/>
                    <w:bottom w:val="single" w:sz="8" w:space="0" w:color="FFFFFF"/>
                    <w:right w:val="single" w:sz="8" w:space="0" w:color="FFFFFF"/>
                  </w:tcBorders>
                  <w:shd w:val="clear" w:color="000000" w:fill="FDE9D9"/>
                  <w:noWrap/>
                  <w:vAlign w:val="center"/>
                  <w:hideMark/>
                </w:tcPr>
                <w:p w14:paraId="6C4BB4F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-0.6 </w:t>
                  </w:r>
                </w:p>
              </w:tc>
              <w:tc>
                <w:tcPr>
                  <w:tcW w:w="960" w:type="dxa"/>
                  <w:tcBorders>
                    <w:top w:val="nil"/>
                    <w:left w:val="nil"/>
                    <w:bottom w:val="single" w:sz="8" w:space="0" w:color="FFFFFF"/>
                    <w:right w:val="single" w:sz="8" w:space="0" w:color="FFFFFF"/>
                  </w:tcBorders>
                  <w:shd w:val="clear" w:color="000000" w:fill="FDE9D9"/>
                  <w:noWrap/>
                  <w:vAlign w:val="center"/>
                  <w:hideMark/>
                </w:tcPr>
                <w:p w14:paraId="2F6B235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-0.6 </w:t>
                  </w:r>
                </w:p>
              </w:tc>
              <w:tc>
                <w:tcPr>
                  <w:tcW w:w="884" w:type="dxa"/>
                  <w:tcBorders>
                    <w:top w:val="nil"/>
                    <w:left w:val="nil"/>
                    <w:bottom w:val="single" w:sz="8" w:space="0" w:color="FFFFFF"/>
                    <w:right w:val="single" w:sz="8" w:space="0" w:color="FFFFFF"/>
                  </w:tcBorders>
                  <w:shd w:val="clear" w:color="000000" w:fill="FDE9D9"/>
                  <w:noWrap/>
                  <w:vAlign w:val="center"/>
                  <w:hideMark/>
                </w:tcPr>
                <w:p w14:paraId="3C372A0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-0.6 </w:t>
                  </w:r>
                </w:p>
              </w:tc>
              <w:tc>
                <w:tcPr>
                  <w:tcW w:w="1154" w:type="dxa"/>
                  <w:tcBorders>
                    <w:top w:val="nil"/>
                    <w:left w:val="nil"/>
                    <w:bottom w:val="single" w:sz="8" w:space="0" w:color="FFFFFF"/>
                    <w:right w:val="single" w:sz="8" w:space="0" w:color="FFFFFF"/>
                  </w:tcBorders>
                  <w:shd w:val="clear" w:color="000000" w:fill="FDE9D9"/>
                  <w:noWrap/>
                  <w:vAlign w:val="center"/>
                  <w:hideMark/>
                </w:tcPr>
                <w:p w14:paraId="2B551B14"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MTN3Y</w:t>
                  </w:r>
                </w:p>
              </w:tc>
              <w:tc>
                <w:tcPr>
                  <w:tcW w:w="841" w:type="dxa"/>
                  <w:tcBorders>
                    <w:top w:val="nil"/>
                    <w:left w:val="nil"/>
                    <w:bottom w:val="single" w:sz="8" w:space="0" w:color="FFFFFF"/>
                    <w:right w:val="single" w:sz="8" w:space="0" w:color="FFFFFF"/>
                  </w:tcBorders>
                  <w:shd w:val="clear" w:color="000000" w:fill="FDE9D9"/>
                  <w:noWrap/>
                  <w:vAlign w:val="center"/>
                  <w:hideMark/>
                </w:tcPr>
                <w:p w14:paraId="7AFC866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-3.4 </w:t>
                  </w:r>
                </w:p>
              </w:tc>
              <w:tc>
                <w:tcPr>
                  <w:tcW w:w="960" w:type="dxa"/>
                  <w:tcBorders>
                    <w:top w:val="nil"/>
                    <w:left w:val="nil"/>
                    <w:bottom w:val="single" w:sz="8" w:space="0" w:color="FFFFFF"/>
                    <w:right w:val="single" w:sz="8" w:space="0" w:color="FFFFFF"/>
                  </w:tcBorders>
                  <w:shd w:val="clear" w:color="000000" w:fill="FDE9D9"/>
                  <w:noWrap/>
                  <w:vAlign w:val="center"/>
                  <w:hideMark/>
                </w:tcPr>
                <w:p w14:paraId="44BC5FA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-4.4 </w:t>
                  </w:r>
                </w:p>
              </w:tc>
              <w:tc>
                <w:tcPr>
                  <w:tcW w:w="960" w:type="dxa"/>
                  <w:tcBorders>
                    <w:top w:val="nil"/>
                    <w:left w:val="nil"/>
                    <w:bottom w:val="single" w:sz="8" w:space="0" w:color="FFFFFF"/>
                    <w:right w:val="single" w:sz="8" w:space="0" w:color="FFFFFF"/>
                  </w:tcBorders>
                  <w:shd w:val="clear" w:color="000000" w:fill="FDE9D9"/>
                  <w:noWrap/>
                  <w:vAlign w:val="center"/>
                  <w:hideMark/>
                </w:tcPr>
                <w:p w14:paraId="09AF5647"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-4.4 </w:t>
                  </w:r>
                </w:p>
              </w:tc>
              <w:tc>
                <w:tcPr>
                  <w:tcW w:w="960" w:type="dxa"/>
                  <w:tcBorders>
                    <w:top w:val="nil"/>
                    <w:left w:val="nil"/>
                    <w:bottom w:val="single" w:sz="8" w:space="0" w:color="FFFFFF"/>
                    <w:right w:val="single" w:sz="8" w:space="0" w:color="FFFFFF"/>
                  </w:tcBorders>
                  <w:shd w:val="clear" w:color="000000" w:fill="FDE9D9"/>
                  <w:noWrap/>
                  <w:vAlign w:val="center"/>
                  <w:hideMark/>
                </w:tcPr>
                <w:p w14:paraId="268DA0E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-4.4 </w:t>
                  </w:r>
                </w:p>
              </w:tc>
            </w:tr>
            <w:tr w:rsidR="009111E9" w:rsidRPr="009111E9" w14:paraId="7CE12E82"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1E4FCE1B"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MTN5Y</w:t>
                  </w:r>
                </w:p>
              </w:tc>
              <w:tc>
                <w:tcPr>
                  <w:tcW w:w="810" w:type="dxa"/>
                  <w:tcBorders>
                    <w:top w:val="nil"/>
                    <w:left w:val="nil"/>
                    <w:bottom w:val="single" w:sz="8" w:space="0" w:color="FFFFFF"/>
                    <w:right w:val="single" w:sz="8" w:space="0" w:color="FFFFFF"/>
                  </w:tcBorders>
                  <w:shd w:val="clear" w:color="000000" w:fill="FCD5B4"/>
                  <w:noWrap/>
                  <w:vAlign w:val="center"/>
                  <w:hideMark/>
                </w:tcPr>
                <w:p w14:paraId="76A29D6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0.9 </w:t>
                  </w:r>
                </w:p>
              </w:tc>
              <w:tc>
                <w:tcPr>
                  <w:tcW w:w="960" w:type="dxa"/>
                  <w:tcBorders>
                    <w:top w:val="nil"/>
                    <w:left w:val="nil"/>
                    <w:bottom w:val="single" w:sz="8" w:space="0" w:color="FFFFFF"/>
                    <w:right w:val="single" w:sz="8" w:space="0" w:color="FFFFFF"/>
                  </w:tcBorders>
                  <w:shd w:val="clear" w:color="000000" w:fill="FCD5B4"/>
                  <w:noWrap/>
                  <w:vAlign w:val="center"/>
                  <w:hideMark/>
                </w:tcPr>
                <w:p w14:paraId="577C553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-0.1 </w:t>
                  </w:r>
                </w:p>
              </w:tc>
              <w:tc>
                <w:tcPr>
                  <w:tcW w:w="960" w:type="dxa"/>
                  <w:tcBorders>
                    <w:top w:val="nil"/>
                    <w:left w:val="nil"/>
                    <w:bottom w:val="single" w:sz="8" w:space="0" w:color="FFFFFF"/>
                    <w:right w:val="single" w:sz="8" w:space="0" w:color="FFFFFF"/>
                  </w:tcBorders>
                  <w:shd w:val="clear" w:color="000000" w:fill="FCD5B4"/>
                  <w:noWrap/>
                  <w:vAlign w:val="center"/>
                  <w:hideMark/>
                </w:tcPr>
                <w:p w14:paraId="57DE5488"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-0.1 </w:t>
                  </w:r>
                </w:p>
              </w:tc>
              <w:tc>
                <w:tcPr>
                  <w:tcW w:w="884" w:type="dxa"/>
                  <w:tcBorders>
                    <w:top w:val="nil"/>
                    <w:left w:val="nil"/>
                    <w:bottom w:val="single" w:sz="8" w:space="0" w:color="FFFFFF"/>
                    <w:right w:val="single" w:sz="8" w:space="0" w:color="FFFFFF"/>
                  </w:tcBorders>
                  <w:shd w:val="clear" w:color="000000" w:fill="FCD5B4"/>
                  <w:noWrap/>
                  <w:vAlign w:val="center"/>
                  <w:hideMark/>
                </w:tcPr>
                <w:p w14:paraId="075DC3A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-0.1 </w:t>
                  </w:r>
                </w:p>
              </w:tc>
              <w:tc>
                <w:tcPr>
                  <w:tcW w:w="1154" w:type="dxa"/>
                  <w:tcBorders>
                    <w:top w:val="nil"/>
                    <w:left w:val="nil"/>
                    <w:bottom w:val="single" w:sz="8" w:space="0" w:color="FFFFFF"/>
                    <w:right w:val="single" w:sz="8" w:space="0" w:color="FFFFFF"/>
                  </w:tcBorders>
                  <w:shd w:val="clear" w:color="000000" w:fill="FCD5B4"/>
                  <w:noWrap/>
                  <w:vAlign w:val="center"/>
                  <w:hideMark/>
                </w:tcPr>
                <w:p w14:paraId="33283DEE"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MTN5Y</w:t>
                  </w:r>
                </w:p>
              </w:tc>
              <w:tc>
                <w:tcPr>
                  <w:tcW w:w="841" w:type="dxa"/>
                  <w:tcBorders>
                    <w:top w:val="nil"/>
                    <w:left w:val="nil"/>
                    <w:bottom w:val="single" w:sz="8" w:space="0" w:color="FFFFFF"/>
                    <w:right w:val="single" w:sz="8" w:space="0" w:color="FFFFFF"/>
                  </w:tcBorders>
                  <w:shd w:val="clear" w:color="000000" w:fill="FCD5B4"/>
                  <w:noWrap/>
                  <w:vAlign w:val="center"/>
                  <w:hideMark/>
                </w:tcPr>
                <w:p w14:paraId="29DC9FE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-0.3 </w:t>
                  </w:r>
                </w:p>
              </w:tc>
              <w:tc>
                <w:tcPr>
                  <w:tcW w:w="960" w:type="dxa"/>
                  <w:tcBorders>
                    <w:top w:val="nil"/>
                    <w:left w:val="nil"/>
                    <w:bottom w:val="single" w:sz="8" w:space="0" w:color="FFFFFF"/>
                    <w:right w:val="single" w:sz="8" w:space="0" w:color="FFFFFF"/>
                  </w:tcBorders>
                  <w:shd w:val="clear" w:color="000000" w:fill="FCD5B4"/>
                  <w:noWrap/>
                  <w:vAlign w:val="center"/>
                  <w:hideMark/>
                </w:tcPr>
                <w:p w14:paraId="0FEEABC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-1.3 </w:t>
                  </w:r>
                </w:p>
              </w:tc>
              <w:tc>
                <w:tcPr>
                  <w:tcW w:w="960" w:type="dxa"/>
                  <w:tcBorders>
                    <w:top w:val="nil"/>
                    <w:left w:val="nil"/>
                    <w:bottom w:val="single" w:sz="8" w:space="0" w:color="FFFFFF"/>
                    <w:right w:val="single" w:sz="8" w:space="0" w:color="FFFFFF"/>
                  </w:tcBorders>
                  <w:shd w:val="clear" w:color="000000" w:fill="FCD5B4"/>
                  <w:noWrap/>
                  <w:vAlign w:val="center"/>
                  <w:hideMark/>
                </w:tcPr>
                <w:p w14:paraId="52416CE7"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-1.3 </w:t>
                  </w:r>
                </w:p>
              </w:tc>
              <w:tc>
                <w:tcPr>
                  <w:tcW w:w="960" w:type="dxa"/>
                  <w:tcBorders>
                    <w:top w:val="nil"/>
                    <w:left w:val="nil"/>
                    <w:bottom w:val="single" w:sz="8" w:space="0" w:color="FFFFFF"/>
                    <w:right w:val="single" w:sz="8" w:space="0" w:color="FFFFFF"/>
                  </w:tcBorders>
                  <w:shd w:val="clear" w:color="000000" w:fill="FCD5B4"/>
                  <w:noWrap/>
                  <w:vAlign w:val="center"/>
                  <w:hideMark/>
                </w:tcPr>
                <w:p w14:paraId="32FBB1C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-1.4 </w:t>
                  </w:r>
                </w:p>
              </w:tc>
            </w:tr>
            <w:tr w:rsidR="009111E9" w:rsidRPr="009111E9" w14:paraId="66E9D6BD"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65C22909"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企业债3Y</w:t>
                  </w:r>
                </w:p>
              </w:tc>
              <w:tc>
                <w:tcPr>
                  <w:tcW w:w="810" w:type="dxa"/>
                  <w:tcBorders>
                    <w:top w:val="nil"/>
                    <w:left w:val="nil"/>
                    <w:bottom w:val="single" w:sz="8" w:space="0" w:color="FFFFFF"/>
                    <w:right w:val="single" w:sz="8" w:space="0" w:color="FFFFFF"/>
                  </w:tcBorders>
                  <w:shd w:val="clear" w:color="000000" w:fill="FDE9D9"/>
                  <w:noWrap/>
                  <w:vAlign w:val="center"/>
                  <w:hideMark/>
                </w:tcPr>
                <w:p w14:paraId="64AD293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-3.8 </w:t>
                  </w:r>
                </w:p>
              </w:tc>
              <w:tc>
                <w:tcPr>
                  <w:tcW w:w="960" w:type="dxa"/>
                  <w:tcBorders>
                    <w:top w:val="nil"/>
                    <w:left w:val="nil"/>
                    <w:bottom w:val="single" w:sz="8" w:space="0" w:color="FFFFFF"/>
                    <w:right w:val="single" w:sz="8" w:space="0" w:color="FFFFFF"/>
                  </w:tcBorders>
                  <w:shd w:val="clear" w:color="000000" w:fill="FDE9D9"/>
                  <w:noWrap/>
                  <w:vAlign w:val="center"/>
                  <w:hideMark/>
                </w:tcPr>
                <w:p w14:paraId="62121E5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-5.8 </w:t>
                  </w:r>
                </w:p>
              </w:tc>
              <w:tc>
                <w:tcPr>
                  <w:tcW w:w="960" w:type="dxa"/>
                  <w:tcBorders>
                    <w:top w:val="nil"/>
                    <w:left w:val="nil"/>
                    <w:bottom w:val="single" w:sz="8" w:space="0" w:color="FFFFFF"/>
                    <w:right w:val="single" w:sz="8" w:space="0" w:color="FFFFFF"/>
                  </w:tcBorders>
                  <w:shd w:val="clear" w:color="000000" w:fill="FDE9D9"/>
                  <w:noWrap/>
                  <w:vAlign w:val="center"/>
                  <w:hideMark/>
                </w:tcPr>
                <w:p w14:paraId="6C2375E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-7.8 </w:t>
                  </w:r>
                </w:p>
              </w:tc>
              <w:tc>
                <w:tcPr>
                  <w:tcW w:w="884" w:type="dxa"/>
                  <w:tcBorders>
                    <w:top w:val="nil"/>
                    <w:left w:val="nil"/>
                    <w:bottom w:val="single" w:sz="8" w:space="0" w:color="FFFFFF"/>
                    <w:right w:val="single" w:sz="8" w:space="0" w:color="FFFFFF"/>
                  </w:tcBorders>
                  <w:shd w:val="clear" w:color="000000" w:fill="FDE9D9"/>
                  <w:noWrap/>
                  <w:vAlign w:val="center"/>
                  <w:hideMark/>
                </w:tcPr>
                <w:p w14:paraId="2770026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-7.8 </w:t>
                  </w:r>
                </w:p>
              </w:tc>
              <w:tc>
                <w:tcPr>
                  <w:tcW w:w="1154" w:type="dxa"/>
                  <w:tcBorders>
                    <w:top w:val="nil"/>
                    <w:left w:val="nil"/>
                    <w:bottom w:val="single" w:sz="8" w:space="0" w:color="FFFFFF"/>
                    <w:right w:val="single" w:sz="8" w:space="0" w:color="FFFFFF"/>
                  </w:tcBorders>
                  <w:shd w:val="clear" w:color="000000" w:fill="FDE9D9"/>
                  <w:noWrap/>
                  <w:vAlign w:val="center"/>
                  <w:hideMark/>
                </w:tcPr>
                <w:p w14:paraId="0F1811B1"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企业债3Y</w:t>
                  </w:r>
                </w:p>
              </w:tc>
              <w:tc>
                <w:tcPr>
                  <w:tcW w:w="841" w:type="dxa"/>
                  <w:tcBorders>
                    <w:top w:val="nil"/>
                    <w:left w:val="nil"/>
                    <w:bottom w:val="single" w:sz="8" w:space="0" w:color="FFFFFF"/>
                    <w:right w:val="single" w:sz="8" w:space="0" w:color="FFFFFF"/>
                  </w:tcBorders>
                  <w:shd w:val="clear" w:color="000000" w:fill="FDE9D9"/>
                  <w:noWrap/>
                  <w:vAlign w:val="center"/>
                  <w:hideMark/>
                </w:tcPr>
                <w:p w14:paraId="296B6D9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-7.7 </w:t>
                  </w:r>
                </w:p>
              </w:tc>
              <w:tc>
                <w:tcPr>
                  <w:tcW w:w="960" w:type="dxa"/>
                  <w:tcBorders>
                    <w:top w:val="nil"/>
                    <w:left w:val="nil"/>
                    <w:bottom w:val="single" w:sz="8" w:space="0" w:color="FFFFFF"/>
                    <w:right w:val="single" w:sz="8" w:space="0" w:color="FFFFFF"/>
                  </w:tcBorders>
                  <w:shd w:val="clear" w:color="000000" w:fill="FDE9D9"/>
                  <w:noWrap/>
                  <w:vAlign w:val="center"/>
                  <w:hideMark/>
                </w:tcPr>
                <w:p w14:paraId="1958463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-9.7 </w:t>
                  </w:r>
                </w:p>
              </w:tc>
              <w:tc>
                <w:tcPr>
                  <w:tcW w:w="960" w:type="dxa"/>
                  <w:tcBorders>
                    <w:top w:val="nil"/>
                    <w:left w:val="nil"/>
                    <w:bottom w:val="single" w:sz="8" w:space="0" w:color="FFFFFF"/>
                    <w:right w:val="single" w:sz="8" w:space="0" w:color="FFFFFF"/>
                  </w:tcBorders>
                  <w:shd w:val="clear" w:color="000000" w:fill="FDE9D9"/>
                  <w:noWrap/>
                  <w:vAlign w:val="center"/>
                  <w:hideMark/>
                </w:tcPr>
                <w:p w14:paraId="6A89CE2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-11.7 </w:t>
                  </w:r>
                </w:p>
              </w:tc>
              <w:tc>
                <w:tcPr>
                  <w:tcW w:w="960" w:type="dxa"/>
                  <w:tcBorders>
                    <w:top w:val="nil"/>
                    <w:left w:val="nil"/>
                    <w:bottom w:val="single" w:sz="8" w:space="0" w:color="FFFFFF"/>
                    <w:right w:val="single" w:sz="8" w:space="0" w:color="FFFFFF"/>
                  </w:tcBorders>
                  <w:shd w:val="clear" w:color="000000" w:fill="FDE9D9"/>
                  <w:noWrap/>
                  <w:vAlign w:val="center"/>
                  <w:hideMark/>
                </w:tcPr>
                <w:p w14:paraId="43B737F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-11.7 </w:t>
                  </w:r>
                </w:p>
              </w:tc>
            </w:tr>
            <w:tr w:rsidR="009111E9" w:rsidRPr="009111E9" w14:paraId="591FD15B"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33E007B9"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企业债5Y</w:t>
                  </w:r>
                </w:p>
              </w:tc>
              <w:tc>
                <w:tcPr>
                  <w:tcW w:w="810" w:type="dxa"/>
                  <w:tcBorders>
                    <w:top w:val="nil"/>
                    <w:left w:val="nil"/>
                    <w:bottom w:val="single" w:sz="8" w:space="0" w:color="FFFFFF"/>
                    <w:right w:val="single" w:sz="8" w:space="0" w:color="FFFFFF"/>
                  </w:tcBorders>
                  <w:shd w:val="clear" w:color="000000" w:fill="FCD5B4"/>
                  <w:noWrap/>
                  <w:vAlign w:val="center"/>
                  <w:hideMark/>
                </w:tcPr>
                <w:p w14:paraId="34950FB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5.2 </w:t>
                  </w:r>
                </w:p>
              </w:tc>
              <w:tc>
                <w:tcPr>
                  <w:tcW w:w="960" w:type="dxa"/>
                  <w:tcBorders>
                    <w:top w:val="nil"/>
                    <w:left w:val="nil"/>
                    <w:bottom w:val="single" w:sz="8" w:space="0" w:color="FFFFFF"/>
                    <w:right w:val="single" w:sz="8" w:space="0" w:color="FFFFFF"/>
                  </w:tcBorders>
                  <w:shd w:val="clear" w:color="000000" w:fill="FCD5B4"/>
                  <w:noWrap/>
                  <w:vAlign w:val="center"/>
                  <w:hideMark/>
                </w:tcPr>
                <w:p w14:paraId="55897CB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5.2 </w:t>
                  </w:r>
                </w:p>
              </w:tc>
              <w:tc>
                <w:tcPr>
                  <w:tcW w:w="960" w:type="dxa"/>
                  <w:tcBorders>
                    <w:top w:val="nil"/>
                    <w:left w:val="nil"/>
                    <w:bottom w:val="single" w:sz="8" w:space="0" w:color="FFFFFF"/>
                    <w:right w:val="single" w:sz="8" w:space="0" w:color="FFFFFF"/>
                  </w:tcBorders>
                  <w:shd w:val="clear" w:color="000000" w:fill="FCD5B4"/>
                  <w:noWrap/>
                  <w:vAlign w:val="center"/>
                  <w:hideMark/>
                </w:tcPr>
                <w:p w14:paraId="1682FF2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6.2 </w:t>
                  </w:r>
                </w:p>
              </w:tc>
              <w:tc>
                <w:tcPr>
                  <w:tcW w:w="884" w:type="dxa"/>
                  <w:tcBorders>
                    <w:top w:val="nil"/>
                    <w:left w:val="nil"/>
                    <w:bottom w:val="single" w:sz="8" w:space="0" w:color="FFFFFF"/>
                    <w:right w:val="single" w:sz="8" w:space="0" w:color="FFFFFF"/>
                  </w:tcBorders>
                  <w:shd w:val="clear" w:color="000000" w:fill="FCD5B4"/>
                  <w:noWrap/>
                  <w:vAlign w:val="center"/>
                  <w:hideMark/>
                </w:tcPr>
                <w:p w14:paraId="3A845B1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6.2 </w:t>
                  </w:r>
                </w:p>
              </w:tc>
              <w:tc>
                <w:tcPr>
                  <w:tcW w:w="1154" w:type="dxa"/>
                  <w:tcBorders>
                    <w:top w:val="nil"/>
                    <w:left w:val="nil"/>
                    <w:bottom w:val="single" w:sz="8" w:space="0" w:color="FFFFFF"/>
                    <w:right w:val="single" w:sz="8" w:space="0" w:color="FFFFFF"/>
                  </w:tcBorders>
                  <w:shd w:val="clear" w:color="000000" w:fill="FCD5B4"/>
                  <w:noWrap/>
                  <w:vAlign w:val="center"/>
                  <w:hideMark/>
                </w:tcPr>
                <w:p w14:paraId="02A7FB05"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企业债5Y</w:t>
                  </w:r>
                </w:p>
              </w:tc>
              <w:tc>
                <w:tcPr>
                  <w:tcW w:w="841" w:type="dxa"/>
                  <w:tcBorders>
                    <w:top w:val="nil"/>
                    <w:left w:val="nil"/>
                    <w:bottom w:val="single" w:sz="8" w:space="0" w:color="FFFFFF"/>
                    <w:right w:val="single" w:sz="8" w:space="0" w:color="FFFFFF"/>
                  </w:tcBorders>
                  <w:shd w:val="clear" w:color="000000" w:fill="FCD5B4"/>
                  <w:noWrap/>
                  <w:vAlign w:val="center"/>
                  <w:hideMark/>
                </w:tcPr>
                <w:p w14:paraId="0155AAF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3.9 </w:t>
                  </w:r>
                </w:p>
              </w:tc>
              <w:tc>
                <w:tcPr>
                  <w:tcW w:w="960" w:type="dxa"/>
                  <w:tcBorders>
                    <w:top w:val="nil"/>
                    <w:left w:val="nil"/>
                    <w:bottom w:val="single" w:sz="8" w:space="0" w:color="FFFFFF"/>
                    <w:right w:val="single" w:sz="8" w:space="0" w:color="FFFFFF"/>
                  </w:tcBorders>
                  <w:shd w:val="clear" w:color="000000" w:fill="FCD5B4"/>
                  <w:noWrap/>
                  <w:vAlign w:val="center"/>
                  <w:hideMark/>
                </w:tcPr>
                <w:p w14:paraId="4E8D59E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3.9 </w:t>
                  </w:r>
                </w:p>
              </w:tc>
              <w:tc>
                <w:tcPr>
                  <w:tcW w:w="960" w:type="dxa"/>
                  <w:tcBorders>
                    <w:top w:val="nil"/>
                    <w:left w:val="nil"/>
                    <w:bottom w:val="single" w:sz="8" w:space="0" w:color="FFFFFF"/>
                    <w:right w:val="single" w:sz="8" w:space="0" w:color="FFFFFF"/>
                  </w:tcBorders>
                  <w:shd w:val="clear" w:color="000000" w:fill="FCD5B4"/>
                  <w:noWrap/>
                  <w:vAlign w:val="center"/>
                  <w:hideMark/>
                </w:tcPr>
                <w:p w14:paraId="1FBF6B1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4.9 </w:t>
                  </w:r>
                </w:p>
              </w:tc>
              <w:tc>
                <w:tcPr>
                  <w:tcW w:w="960" w:type="dxa"/>
                  <w:tcBorders>
                    <w:top w:val="nil"/>
                    <w:left w:val="nil"/>
                    <w:bottom w:val="single" w:sz="8" w:space="0" w:color="FFFFFF"/>
                    <w:right w:val="single" w:sz="8" w:space="0" w:color="FFFFFF"/>
                  </w:tcBorders>
                  <w:shd w:val="clear" w:color="000000" w:fill="FCD5B4"/>
                  <w:noWrap/>
                  <w:vAlign w:val="center"/>
                  <w:hideMark/>
                </w:tcPr>
                <w:p w14:paraId="0D7B956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4.9 </w:t>
                  </w:r>
                </w:p>
              </w:tc>
            </w:tr>
            <w:tr w:rsidR="009111E9" w:rsidRPr="009111E9" w14:paraId="178781C0"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34AF85B2"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企业债7Y</w:t>
                  </w:r>
                </w:p>
              </w:tc>
              <w:tc>
                <w:tcPr>
                  <w:tcW w:w="810" w:type="dxa"/>
                  <w:tcBorders>
                    <w:top w:val="nil"/>
                    <w:left w:val="nil"/>
                    <w:bottom w:val="single" w:sz="8" w:space="0" w:color="FFFFFF"/>
                    <w:right w:val="single" w:sz="8" w:space="0" w:color="FFFFFF"/>
                  </w:tcBorders>
                  <w:shd w:val="clear" w:color="000000" w:fill="FDE9D9"/>
                  <w:noWrap/>
                  <w:vAlign w:val="center"/>
                  <w:hideMark/>
                </w:tcPr>
                <w:p w14:paraId="4CA8DE3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-0.9 </w:t>
                  </w:r>
                </w:p>
              </w:tc>
              <w:tc>
                <w:tcPr>
                  <w:tcW w:w="960" w:type="dxa"/>
                  <w:tcBorders>
                    <w:top w:val="nil"/>
                    <w:left w:val="nil"/>
                    <w:bottom w:val="single" w:sz="8" w:space="0" w:color="FFFFFF"/>
                    <w:right w:val="single" w:sz="8" w:space="0" w:color="FFFFFF"/>
                  </w:tcBorders>
                  <w:shd w:val="clear" w:color="000000" w:fill="FDE9D9"/>
                  <w:noWrap/>
                  <w:vAlign w:val="center"/>
                  <w:hideMark/>
                </w:tcPr>
                <w:p w14:paraId="0562F5E6"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-0.9 </w:t>
                  </w:r>
                </w:p>
              </w:tc>
              <w:tc>
                <w:tcPr>
                  <w:tcW w:w="960" w:type="dxa"/>
                  <w:tcBorders>
                    <w:top w:val="nil"/>
                    <w:left w:val="nil"/>
                    <w:bottom w:val="single" w:sz="8" w:space="0" w:color="FFFFFF"/>
                    <w:right w:val="single" w:sz="8" w:space="0" w:color="FFFFFF"/>
                  </w:tcBorders>
                  <w:shd w:val="clear" w:color="000000" w:fill="FDE9D9"/>
                  <w:noWrap/>
                  <w:vAlign w:val="center"/>
                  <w:hideMark/>
                </w:tcPr>
                <w:p w14:paraId="4080385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-0.9 </w:t>
                  </w:r>
                </w:p>
              </w:tc>
              <w:tc>
                <w:tcPr>
                  <w:tcW w:w="884" w:type="dxa"/>
                  <w:tcBorders>
                    <w:top w:val="nil"/>
                    <w:left w:val="nil"/>
                    <w:bottom w:val="single" w:sz="8" w:space="0" w:color="FFFFFF"/>
                    <w:right w:val="single" w:sz="8" w:space="0" w:color="FFFFFF"/>
                  </w:tcBorders>
                  <w:shd w:val="clear" w:color="000000" w:fill="FDE9D9"/>
                  <w:noWrap/>
                  <w:vAlign w:val="center"/>
                  <w:hideMark/>
                </w:tcPr>
                <w:p w14:paraId="11FD6B5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-0.9 </w:t>
                  </w:r>
                </w:p>
              </w:tc>
              <w:tc>
                <w:tcPr>
                  <w:tcW w:w="1154" w:type="dxa"/>
                  <w:tcBorders>
                    <w:top w:val="nil"/>
                    <w:left w:val="nil"/>
                    <w:bottom w:val="single" w:sz="8" w:space="0" w:color="FFFFFF"/>
                    <w:right w:val="single" w:sz="8" w:space="0" w:color="FFFFFF"/>
                  </w:tcBorders>
                  <w:shd w:val="clear" w:color="000000" w:fill="FDE9D9"/>
                  <w:noWrap/>
                  <w:vAlign w:val="center"/>
                  <w:hideMark/>
                </w:tcPr>
                <w:p w14:paraId="420CDD39"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企业债7Y</w:t>
                  </w:r>
                </w:p>
              </w:tc>
              <w:tc>
                <w:tcPr>
                  <w:tcW w:w="841" w:type="dxa"/>
                  <w:tcBorders>
                    <w:top w:val="nil"/>
                    <w:left w:val="nil"/>
                    <w:bottom w:val="single" w:sz="8" w:space="0" w:color="FFFFFF"/>
                    <w:right w:val="single" w:sz="8" w:space="0" w:color="FFFFFF"/>
                  </w:tcBorders>
                  <w:shd w:val="clear" w:color="000000" w:fill="FDE9D9"/>
                  <w:noWrap/>
                  <w:vAlign w:val="center"/>
                  <w:hideMark/>
                </w:tcPr>
                <w:p w14:paraId="028FB90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-2.3 </w:t>
                  </w:r>
                </w:p>
              </w:tc>
              <w:tc>
                <w:tcPr>
                  <w:tcW w:w="960" w:type="dxa"/>
                  <w:tcBorders>
                    <w:top w:val="nil"/>
                    <w:left w:val="nil"/>
                    <w:bottom w:val="single" w:sz="8" w:space="0" w:color="FFFFFF"/>
                    <w:right w:val="single" w:sz="8" w:space="0" w:color="FFFFFF"/>
                  </w:tcBorders>
                  <w:shd w:val="clear" w:color="000000" w:fill="FDE9D9"/>
                  <w:noWrap/>
                  <w:vAlign w:val="center"/>
                  <w:hideMark/>
                </w:tcPr>
                <w:p w14:paraId="5EB971B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-2.3 </w:t>
                  </w:r>
                </w:p>
              </w:tc>
              <w:tc>
                <w:tcPr>
                  <w:tcW w:w="960" w:type="dxa"/>
                  <w:tcBorders>
                    <w:top w:val="nil"/>
                    <w:left w:val="nil"/>
                    <w:bottom w:val="single" w:sz="8" w:space="0" w:color="FFFFFF"/>
                    <w:right w:val="single" w:sz="8" w:space="0" w:color="FFFFFF"/>
                  </w:tcBorders>
                  <w:shd w:val="clear" w:color="000000" w:fill="FDE9D9"/>
                  <w:noWrap/>
                  <w:vAlign w:val="center"/>
                  <w:hideMark/>
                </w:tcPr>
                <w:p w14:paraId="0B4D751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-2.3 </w:t>
                  </w:r>
                </w:p>
              </w:tc>
              <w:tc>
                <w:tcPr>
                  <w:tcW w:w="960" w:type="dxa"/>
                  <w:tcBorders>
                    <w:top w:val="nil"/>
                    <w:left w:val="nil"/>
                    <w:bottom w:val="single" w:sz="8" w:space="0" w:color="FFFFFF"/>
                    <w:right w:val="single" w:sz="8" w:space="0" w:color="FFFFFF"/>
                  </w:tcBorders>
                  <w:shd w:val="clear" w:color="000000" w:fill="FDE9D9"/>
                  <w:noWrap/>
                  <w:vAlign w:val="center"/>
                  <w:hideMark/>
                </w:tcPr>
                <w:p w14:paraId="3591055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-2.3 </w:t>
                  </w:r>
                </w:p>
              </w:tc>
            </w:tr>
            <w:tr w:rsidR="009111E9" w:rsidRPr="009111E9" w14:paraId="61981D07"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448968BC"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3Y</w:t>
                  </w:r>
                </w:p>
              </w:tc>
              <w:tc>
                <w:tcPr>
                  <w:tcW w:w="810" w:type="dxa"/>
                  <w:tcBorders>
                    <w:top w:val="nil"/>
                    <w:left w:val="nil"/>
                    <w:bottom w:val="single" w:sz="8" w:space="0" w:color="FFFFFF"/>
                    <w:right w:val="single" w:sz="8" w:space="0" w:color="FFFFFF"/>
                  </w:tcBorders>
                  <w:shd w:val="clear" w:color="000000" w:fill="FCD5B4"/>
                  <w:noWrap/>
                  <w:vAlign w:val="center"/>
                  <w:hideMark/>
                </w:tcPr>
                <w:p w14:paraId="6683C0C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-2.5 </w:t>
                  </w:r>
                </w:p>
              </w:tc>
              <w:tc>
                <w:tcPr>
                  <w:tcW w:w="960" w:type="dxa"/>
                  <w:tcBorders>
                    <w:top w:val="nil"/>
                    <w:left w:val="nil"/>
                    <w:bottom w:val="single" w:sz="8" w:space="0" w:color="FFFFFF"/>
                    <w:right w:val="single" w:sz="8" w:space="0" w:color="FFFFFF"/>
                  </w:tcBorders>
                  <w:shd w:val="clear" w:color="000000" w:fill="FCD5B4"/>
                  <w:noWrap/>
                  <w:vAlign w:val="center"/>
                  <w:hideMark/>
                </w:tcPr>
                <w:p w14:paraId="67883D68"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-0.5 </w:t>
                  </w:r>
                </w:p>
              </w:tc>
              <w:tc>
                <w:tcPr>
                  <w:tcW w:w="960" w:type="dxa"/>
                  <w:tcBorders>
                    <w:top w:val="nil"/>
                    <w:left w:val="nil"/>
                    <w:bottom w:val="single" w:sz="8" w:space="0" w:color="FFFFFF"/>
                    <w:right w:val="single" w:sz="8" w:space="0" w:color="FFFFFF"/>
                  </w:tcBorders>
                  <w:shd w:val="clear" w:color="000000" w:fill="FCD5B4"/>
                  <w:noWrap/>
                  <w:vAlign w:val="center"/>
                  <w:hideMark/>
                </w:tcPr>
                <w:p w14:paraId="70A89CD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-2.5 </w:t>
                  </w:r>
                </w:p>
              </w:tc>
              <w:tc>
                <w:tcPr>
                  <w:tcW w:w="884" w:type="dxa"/>
                  <w:tcBorders>
                    <w:top w:val="nil"/>
                    <w:left w:val="nil"/>
                    <w:bottom w:val="single" w:sz="8" w:space="0" w:color="FFFFFF"/>
                    <w:right w:val="single" w:sz="8" w:space="0" w:color="FFFFFF"/>
                  </w:tcBorders>
                  <w:shd w:val="clear" w:color="000000" w:fill="FCD5B4"/>
                  <w:noWrap/>
                  <w:vAlign w:val="center"/>
                  <w:hideMark/>
                </w:tcPr>
                <w:p w14:paraId="0F94D63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3.5 </w:t>
                  </w:r>
                </w:p>
              </w:tc>
              <w:tc>
                <w:tcPr>
                  <w:tcW w:w="1154" w:type="dxa"/>
                  <w:tcBorders>
                    <w:top w:val="nil"/>
                    <w:left w:val="nil"/>
                    <w:bottom w:val="single" w:sz="8" w:space="0" w:color="FFFFFF"/>
                    <w:right w:val="single" w:sz="8" w:space="0" w:color="FFFFFF"/>
                  </w:tcBorders>
                  <w:shd w:val="clear" w:color="000000" w:fill="FCD5B4"/>
                  <w:noWrap/>
                  <w:vAlign w:val="center"/>
                  <w:hideMark/>
                </w:tcPr>
                <w:p w14:paraId="5BE9EEBD"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3Y</w:t>
                  </w:r>
                </w:p>
              </w:tc>
              <w:tc>
                <w:tcPr>
                  <w:tcW w:w="841" w:type="dxa"/>
                  <w:tcBorders>
                    <w:top w:val="nil"/>
                    <w:left w:val="nil"/>
                    <w:bottom w:val="single" w:sz="8" w:space="0" w:color="FFFFFF"/>
                    <w:right w:val="single" w:sz="8" w:space="0" w:color="FFFFFF"/>
                  </w:tcBorders>
                  <w:shd w:val="clear" w:color="000000" w:fill="FCD5B4"/>
                  <w:noWrap/>
                  <w:vAlign w:val="center"/>
                  <w:hideMark/>
                </w:tcPr>
                <w:p w14:paraId="3878B9C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-6.4 </w:t>
                  </w:r>
                </w:p>
              </w:tc>
              <w:tc>
                <w:tcPr>
                  <w:tcW w:w="960" w:type="dxa"/>
                  <w:tcBorders>
                    <w:top w:val="nil"/>
                    <w:left w:val="nil"/>
                    <w:bottom w:val="single" w:sz="8" w:space="0" w:color="FFFFFF"/>
                    <w:right w:val="single" w:sz="8" w:space="0" w:color="FFFFFF"/>
                  </w:tcBorders>
                  <w:shd w:val="clear" w:color="000000" w:fill="FCD5B4"/>
                  <w:noWrap/>
                  <w:vAlign w:val="center"/>
                  <w:hideMark/>
                </w:tcPr>
                <w:p w14:paraId="0A7CD1F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-4.4 </w:t>
                  </w:r>
                </w:p>
              </w:tc>
              <w:tc>
                <w:tcPr>
                  <w:tcW w:w="960" w:type="dxa"/>
                  <w:tcBorders>
                    <w:top w:val="nil"/>
                    <w:left w:val="nil"/>
                    <w:bottom w:val="single" w:sz="8" w:space="0" w:color="FFFFFF"/>
                    <w:right w:val="single" w:sz="8" w:space="0" w:color="FFFFFF"/>
                  </w:tcBorders>
                  <w:shd w:val="clear" w:color="000000" w:fill="FCD5B4"/>
                  <w:noWrap/>
                  <w:vAlign w:val="center"/>
                  <w:hideMark/>
                </w:tcPr>
                <w:p w14:paraId="718F475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-6.4 </w:t>
                  </w:r>
                </w:p>
              </w:tc>
              <w:tc>
                <w:tcPr>
                  <w:tcW w:w="960" w:type="dxa"/>
                  <w:tcBorders>
                    <w:top w:val="nil"/>
                    <w:left w:val="nil"/>
                    <w:bottom w:val="single" w:sz="8" w:space="0" w:color="FFFFFF"/>
                    <w:right w:val="single" w:sz="8" w:space="0" w:color="FFFFFF"/>
                  </w:tcBorders>
                  <w:shd w:val="clear" w:color="000000" w:fill="FCD5B4"/>
                  <w:noWrap/>
                  <w:vAlign w:val="center"/>
                  <w:hideMark/>
                </w:tcPr>
                <w:p w14:paraId="20B1D72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-0.4 </w:t>
                  </w:r>
                </w:p>
              </w:tc>
            </w:tr>
            <w:tr w:rsidR="009111E9" w:rsidRPr="009111E9" w14:paraId="2590B97C"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239E8D48"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5Y</w:t>
                  </w:r>
                </w:p>
              </w:tc>
              <w:tc>
                <w:tcPr>
                  <w:tcW w:w="810" w:type="dxa"/>
                  <w:tcBorders>
                    <w:top w:val="nil"/>
                    <w:left w:val="nil"/>
                    <w:bottom w:val="single" w:sz="8" w:space="0" w:color="FFFFFF"/>
                    <w:right w:val="single" w:sz="8" w:space="0" w:color="FFFFFF"/>
                  </w:tcBorders>
                  <w:shd w:val="clear" w:color="000000" w:fill="FDE9D9"/>
                  <w:noWrap/>
                  <w:vAlign w:val="center"/>
                  <w:hideMark/>
                </w:tcPr>
                <w:p w14:paraId="149EC0A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-0.4 </w:t>
                  </w:r>
                </w:p>
              </w:tc>
              <w:tc>
                <w:tcPr>
                  <w:tcW w:w="960" w:type="dxa"/>
                  <w:tcBorders>
                    <w:top w:val="nil"/>
                    <w:left w:val="nil"/>
                    <w:bottom w:val="single" w:sz="8" w:space="0" w:color="FFFFFF"/>
                    <w:right w:val="single" w:sz="8" w:space="0" w:color="FFFFFF"/>
                  </w:tcBorders>
                  <w:shd w:val="clear" w:color="000000" w:fill="FDE9D9"/>
                  <w:noWrap/>
                  <w:vAlign w:val="center"/>
                  <w:hideMark/>
                </w:tcPr>
                <w:p w14:paraId="2952653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-4.5 </w:t>
                  </w:r>
                </w:p>
              </w:tc>
              <w:tc>
                <w:tcPr>
                  <w:tcW w:w="960" w:type="dxa"/>
                  <w:tcBorders>
                    <w:top w:val="nil"/>
                    <w:left w:val="nil"/>
                    <w:bottom w:val="single" w:sz="8" w:space="0" w:color="FFFFFF"/>
                    <w:right w:val="single" w:sz="8" w:space="0" w:color="FFFFFF"/>
                  </w:tcBorders>
                  <w:shd w:val="clear" w:color="000000" w:fill="FDE9D9"/>
                  <w:noWrap/>
                  <w:vAlign w:val="center"/>
                  <w:hideMark/>
                </w:tcPr>
                <w:p w14:paraId="5900F96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-1.5 </w:t>
                  </w:r>
                </w:p>
              </w:tc>
              <w:tc>
                <w:tcPr>
                  <w:tcW w:w="884" w:type="dxa"/>
                  <w:tcBorders>
                    <w:top w:val="nil"/>
                    <w:left w:val="nil"/>
                    <w:bottom w:val="single" w:sz="8" w:space="0" w:color="FFFFFF"/>
                    <w:right w:val="single" w:sz="8" w:space="0" w:color="FFFFFF"/>
                  </w:tcBorders>
                  <w:shd w:val="clear" w:color="000000" w:fill="FDE9D9"/>
                  <w:noWrap/>
                  <w:vAlign w:val="center"/>
                  <w:hideMark/>
                </w:tcPr>
                <w:p w14:paraId="156D57F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2.5 </w:t>
                  </w:r>
                </w:p>
              </w:tc>
              <w:tc>
                <w:tcPr>
                  <w:tcW w:w="1154" w:type="dxa"/>
                  <w:tcBorders>
                    <w:top w:val="nil"/>
                    <w:left w:val="nil"/>
                    <w:bottom w:val="single" w:sz="8" w:space="0" w:color="FFFFFF"/>
                    <w:right w:val="single" w:sz="8" w:space="0" w:color="FFFFFF"/>
                  </w:tcBorders>
                  <w:shd w:val="clear" w:color="000000" w:fill="FDE9D9"/>
                  <w:noWrap/>
                  <w:vAlign w:val="center"/>
                  <w:hideMark/>
                </w:tcPr>
                <w:p w14:paraId="1ED35267"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5Y</w:t>
                  </w:r>
                </w:p>
              </w:tc>
              <w:tc>
                <w:tcPr>
                  <w:tcW w:w="841" w:type="dxa"/>
                  <w:tcBorders>
                    <w:top w:val="nil"/>
                    <w:left w:val="nil"/>
                    <w:bottom w:val="single" w:sz="8" w:space="0" w:color="FFFFFF"/>
                    <w:right w:val="single" w:sz="8" w:space="0" w:color="FFFFFF"/>
                  </w:tcBorders>
                  <w:shd w:val="clear" w:color="000000" w:fill="FDE9D9"/>
                  <w:noWrap/>
                  <w:vAlign w:val="center"/>
                  <w:hideMark/>
                </w:tcPr>
                <w:p w14:paraId="2C0D067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-1.7 </w:t>
                  </w:r>
                </w:p>
              </w:tc>
              <w:tc>
                <w:tcPr>
                  <w:tcW w:w="960" w:type="dxa"/>
                  <w:tcBorders>
                    <w:top w:val="nil"/>
                    <w:left w:val="nil"/>
                    <w:bottom w:val="single" w:sz="8" w:space="0" w:color="FFFFFF"/>
                    <w:right w:val="single" w:sz="8" w:space="0" w:color="FFFFFF"/>
                  </w:tcBorders>
                  <w:shd w:val="clear" w:color="000000" w:fill="FDE9D9"/>
                  <w:noWrap/>
                  <w:vAlign w:val="center"/>
                  <w:hideMark/>
                </w:tcPr>
                <w:p w14:paraId="0ABD12C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-5.7 </w:t>
                  </w:r>
                </w:p>
              </w:tc>
              <w:tc>
                <w:tcPr>
                  <w:tcW w:w="960" w:type="dxa"/>
                  <w:tcBorders>
                    <w:top w:val="nil"/>
                    <w:left w:val="nil"/>
                    <w:bottom w:val="single" w:sz="8" w:space="0" w:color="FFFFFF"/>
                    <w:right w:val="single" w:sz="8" w:space="0" w:color="FFFFFF"/>
                  </w:tcBorders>
                  <w:shd w:val="clear" w:color="000000" w:fill="FDE9D9"/>
                  <w:noWrap/>
                  <w:vAlign w:val="center"/>
                  <w:hideMark/>
                </w:tcPr>
                <w:p w14:paraId="1285AA6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-2.7 </w:t>
                  </w:r>
                </w:p>
              </w:tc>
              <w:tc>
                <w:tcPr>
                  <w:tcW w:w="960" w:type="dxa"/>
                  <w:tcBorders>
                    <w:top w:val="nil"/>
                    <w:left w:val="nil"/>
                    <w:bottom w:val="single" w:sz="8" w:space="0" w:color="FFFFFF"/>
                    <w:right w:val="single" w:sz="8" w:space="0" w:color="FFFFFF"/>
                  </w:tcBorders>
                  <w:shd w:val="clear" w:color="000000" w:fill="FDE9D9"/>
                  <w:noWrap/>
                  <w:vAlign w:val="center"/>
                  <w:hideMark/>
                </w:tcPr>
                <w:p w14:paraId="2CE69938"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1.3 </w:t>
                  </w:r>
                </w:p>
              </w:tc>
            </w:tr>
            <w:tr w:rsidR="009111E9" w:rsidRPr="009111E9" w14:paraId="1563B69E" w14:textId="77777777" w:rsidTr="009111E9">
              <w:trPr>
                <w:trHeight w:val="385"/>
              </w:trPr>
              <w:tc>
                <w:tcPr>
                  <w:tcW w:w="1334" w:type="dxa"/>
                  <w:tcBorders>
                    <w:top w:val="nil"/>
                    <w:left w:val="nil"/>
                    <w:bottom w:val="nil"/>
                    <w:right w:val="nil"/>
                  </w:tcBorders>
                  <w:shd w:val="clear" w:color="000000" w:fill="FCD5B4"/>
                  <w:noWrap/>
                  <w:vAlign w:val="center"/>
                  <w:hideMark/>
                </w:tcPr>
                <w:p w14:paraId="3C28901B"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7Y</w:t>
                  </w:r>
                </w:p>
              </w:tc>
              <w:tc>
                <w:tcPr>
                  <w:tcW w:w="810" w:type="dxa"/>
                  <w:tcBorders>
                    <w:top w:val="nil"/>
                    <w:left w:val="nil"/>
                    <w:bottom w:val="single" w:sz="8" w:space="0" w:color="FFFFFF"/>
                    <w:right w:val="single" w:sz="8" w:space="0" w:color="FFFFFF"/>
                  </w:tcBorders>
                  <w:shd w:val="clear" w:color="000000" w:fill="FCD5B4"/>
                  <w:noWrap/>
                  <w:vAlign w:val="center"/>
                  <w:hideMark/>
                </w:tcPr>
                <w:p w14:paraId="7B2D2F47"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-1.5 </w:t>
                  </w:r>
                </w:p>
              </w:tc>
              <w:tc>
                <w:tcPr>
                  <w:tcW w:w="960" w:type="dxa"/>
                  <w:tcBorders>
                    <w:top w:val="nil"/>
                    <w:left w:val="nil"/>
                    <w:bottom w:val="single" w:sz="8" w:space="0" w:color="FFFFFF"/>
                    <w:right w:val="single" w:sz="8" w:space="0" w:color="FFFFFF"/>
                  </w:tcBorders>
                  <w:shd w:val="clear" w:color="000000" w:fill="FCD5B4"/>
                  <w:noWrap/>
                  <w:vAlign w:val="center"/>
                  <w:hideMark/>
                </w:tcPr>
                <w:p w14:paraId="0F7B9DF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-1.5 </w:t>
                  </w:r>
                </w:p>
              </w:tc>
              <w:tc>
                <w:tcPr>
                  <w:tcW w:w="960" w:type="dxa"/>
                  <w:tcBorders>
                    <w:top w:val="nil"/>
                    <w:left w:val="nil"/>
                    <w:bottom w:val="single" w:sz="8" w:space="0" w:color="FFFFFF"/>
                    <w:right w:val="single" w:sz="8" w:space="0" w:color="FFFFFF"/>
                  </w:tcBorders>
                  <w:shd w:val="clear" w:color="000000" w:fill="FCD5B4"/>
                  <w:noWrap/>
                  <w:vAlign w:val="center"/>
                  <w:hideMark/>
                </w:tcPr>
                <w:p w14:paraId="1468119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2.5 </w:t>
                  </w:r>
                </w:p>
              </w:tc>
              <w:tc>
                <w:tcPr>
                  <w:tcW w:w="884" w:type="dxa"/>
                  <w:tcBorders>
                    <w:top w:val="nil"/>
                    <w:left w:val="nil"/>
                    <w:bottom w:val="single" w:sz="8" w:space="0" w:color="FFFFFF"/>
                    <w:right w:val="single" w:sz="8" w:space="0" w:color="FFFFFF"/>
                  </w:tcBorders>
                  <w:shd w:val="clear" w:color="000000" w:fill="FCD5B4"/>
                  <w:noWrap/>
                  <w:vAlign w:val="center"/>
                  <w:hideMark/>
                </w:tcPr>
                <w:p w14:paraId="7777367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3.5 </w:t>
                  </w:r>
                </w:p>
              </w:tc>
              <w:tc>
                <w:tcPr>
                  <w:tcW w:w="1154" w:type="dxa"/>
                  <w:tcBorders>
                    <w:top w:val="nil"/>
                    <w:left w:val="nil"/>
                    <w:bottom w:val="nil"/>
                    <w:right w:val="nil"/>
                  </w:tcBorders>
                  <w:shd w:val="clear" w:color="000000" w:fill="FCD5B4"/>
                  <w:noWrap/>
                  <w:vAlign w:val="center"/>
                  <w:hideMark/>
                </w:tcPr>
                <w:p w14:paraId="3371CCC0"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7Y</w:t>
                  </w:r>
                </w:p>
              </w:tc>
              <w:tc>
                <w:tcPr>
                  <w:tcW w:w="841" w:type="dxa"/>
                  <w:tcBorders>
                    <w:top w:val="nil"/>
                    <w:left w:val="nil"/>
                    <w:bottom w:val="single" w:sz="8" w:space="0" w:color="FFFFFF"/>
                    <w:right w:val="single" w:sz="8" w:space="0" w:color="FFFFFF"/>
                  </w:tcBorders>
                  <w:shd w:val="clear" w:color="000000" w:fill="FCD5B4"/>
                  <w:noWrap/>
                  <w:vAlign w:val="center"/>
                  <w:hideMark/>
                </w:tcPr>
                <w:p w14:paraId="2FC8A0E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-2.8 </w:t>
                  </w:r>
                </w:p>
              </w:tc>
              <w:tc>
                <w:tcPr>
                  <w:tcW w:w="960" w:type="dxa"/>
                  <w:tcBorders>
                    <w:top w:val="nil"/>
                    <w:left w:val="nil"/>
                    <w:bottom w:val="single" w:sz="8" w:space="0" w:color="FFFFFF"/>
                    <w:right w:val="single" w:sz="8" w:space="0" w:color="FFFFFF"/>
                  </w:tcBorders>
                  <w:shd w:val="clear" w:color="000000" w:fill="FCD5B4"/>
                  <w:noWrap/>
                  <w:vAlign w:val="center"/>
                  <w:hideMark/>
                </w:tcPr>
                <w:p w14:paraId="3ED20F9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FF0000"/>
                      <w:kern w:val="0"/>
                      <w:szCs w:val="21"/>
                    </w:rPr>
                    <w:t xml:space="preserve">-2.8 </w:t>
                  </w:r>
                </w:p>
              </w:tc>
              <w:tc>
                <w:tcPr>
                  <w:tcW w:w="960" w:type="dxa"/>
                  <w:tcBorders>
                    <w:top w:val="nil"/>
                    <w:left w:val="nil"/>
                    <w:bottom w:val="single" w:sz="8" w:space="0" w:color="FFFFFF"/>
                    <w:right w:val="single" w:sz="8" w:space="0" w:color="FFFFFF"/>
                  </w:tcBorders>
                  <w:shd w:val="clear" w:color="000000" w:fill="FCD5B4"/>
                  <w:noWrap/>
                  <w:vAlign w:val="center"/>
                  <w:hideMark/>
                </w:tcPr>
                <w:p w14:paraId="1BAC105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1.2 </w:t>
                  </w:r>
                </w:p>
              </w:tc>
              <w:tc>
                <w:tcPr>
                  <w:tcW w:w="960" w:type="dxa"/>
                  <w:tcBorders>
                    <w:top w:val="nil"/>
                    <w:left w:val="nil"/>
                    <w:bottom w:val="single" w:sz="8" w:space="0" w:color="FFFFFF"/>
                    <w:right w:val="single" w:sz="8" w:space="0" w:color="FFFFFF"/>
                  </w:tcBorders>
                  <w:shd w:val="clear" w:color="000000" w:fill="FCD5B4"/>
                  <w:noWrap/>
                  <w:vAlign w:val="center"/>
                  <w:hideMark/>
                </w:tcPr>
                <w:p w14:paraId="32FC555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 xml:space="preserve">2.2 </w:t>
                  </w:r>
                </w:p>
              </w:tc>
            </w:tr>
            <w:tr w:rsidR="009111E9" w:rsidRPr="009111E9" w14:paraId="4069B50D" w14:textId="77777777" w:rsidTr="009111E9">
              <w:trPr>
                <w:trHeight w:val="198"/>
              </w:trPr>
              <w:tc>
                <w:tcPr>
                  <w:tcW w:w="1334" w:type="dxa"/>
                  <w:tcBorders>
                    <w:top w:val="nil"/>
                    <w:left w:val="nil"/>
                    <w:bottom w:val="nil"/>
                    <w:right w:val="nil"/>
                  </w:tcBorders>
                  <w:shd w:val="clear" w:color="auto" w:fill="auto"/>
                  <w:noWrap/>
                  <w:vAlign w:val="center"/>
                  <w:hideMark/>
                </w:tcPr>
                <w:p w14:paraId="2D61791B" w14:textId="77777777" w:rsidR="009111E9" w:rsidRPr="009111E9" w:rsidRDefault="009111E9" w:rsidP="009111E9">
                  <w:pPr>
                    <w:widowControl/>
                    <w:jc w:val="center"/>
                    <w:rPr>
                      <w:rFonts w:eastAsia="等线" w:cs="Calibri"/>
                      <w:color w:val="000000"/>
                      <w:kern w:val="0"/>
                      <w:szCs w:val="21"/>
                    </w:rPr>
                  </w:pPr>
                </w:p>
              </w:tc>
              <w:tc>
                <w:tcPr>
                  <w:tcW w:w="810" w:type="dxa"/>
                  <w:tcBorders>
                    <w:top w:val="nil"/>
                    <w:left w:val="nil"/>
                    <w:bottom w:val="nil"/>
                    <w:right w:val="nil"/>
                  </w:tcBorders>
                  <w:shd w:val="clear" w:color="auto" w:fill="auto"/>
                  <w:noWrap/>
                  <w:vAlign w:val="center"/>
                  <w:hideMark/>
                </w:tcPr>
                <w:p w14:paraId="0F6FD302"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4FFEB12B"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78DF965C" w14:textId="77777777" w:rsidR="009111E9" w:rsidRPr="009111E9" w:rsidRDefault="009111E9" w:rsidP="009111E9">
                  <w:pPr>
                    <w:widowControl/>
                    <w:jc w:val="center"/>
                    <w:rPr>
                      <w:rFonts w:ascii="Times New Roman" w:eastAsia="Times New Roman" w:hAnsi="Times New Roman"/>
                      <w:kern w:val="0"/>
                      <w:sz w:val="20"/>
                      <w:szCs w:val="20"/>
                    </w:rPr>
                  </w:pPr>
                </w:p>
              </w:tc>
              <w:tc>
                <w:tcPr>
                  <w:tcW w:w="884" w:type="dxa"/>
                  <w:tcBorders>
                    <w:top w:val="nil"/>
                    <w:left w:val="nil"/>
                    <w:bottom w:val="nil"/>
                    <w:right w:val="nil"/>
                  </w:tcBorders>
                  <w:shd w:val="clear" w:color="auto" w:fill="auto"/>
                  <w:noWrap/>
                  <w:vAlign w:val="center"/>
                  <w:hideMark/>
                </w:tcPr>
                <w:p w14:paraId="34983C29" w14:textId="77777777" w:rsidR="009111E9" w:rsidRPr="009111E9" w:rsidRDefault="009111E9" w:rsidP="009111E9">
                  <w:pPr>
                    <w:widowControl/>
                    <w:jc w:val="center"/>
                    <w:rPr>
                      <w:rFonts w:ascii="Times New Roman" w:eastAsia="Times New Roman" w:hAnsi="Times New Roman"/>
                      <w:kern w:val="0"/>
                      <w:sz w:val="20"/>
                      <w:szCs w:val="20"/>
                    </w:rPr>
                  </w:pPr>
                </w:p>
              </w:tc>
              <w:tc>
                <w:tcPr>
                  <w:tcW w:w="1154" w:type="dxa"/>
                  <w:tcBorders>
                    <w:top w:val="nil"/>
                    <w:left w:val="nil"/>
                    <w:bottom w:val="nil"/>
                    <w:right w:val="nil"/>
                  </w:tcBorders>
                  <w:shd w:val="clear" w:color="auto" w:fill="auto"/>
                  <w:noWrap/>
                  <w:vAlign w:val="center"/>
                  <w:hideMark/>
                </w:tcPr>
                <w:p w14:paraId="4F48CABC" w14:textId="77777777" w:rsidR="009111E9" w:rsidRPr="009111E9" w:rsidRDefault="009111E9" w:rsidP="009111E9">
                  <w:pPr>
                    <w:widowControl/>
                    <w:jc w:val="center"/>
                    <w:rPr>
                      <w:rFonts w:ascii="Times New Roman" w:eastAsia="Times New Roman" w:hAnsi="Times New Roman"/>
                      <w:kern w:val="0"/>
                      <w:sz w:val="20"/>
                      <w:szCs w:val="20"/>
                    </w:rPr>
                  </w:pPr>
                </w:p>
              </w:tc>
              <w:tc>
                <w:tcPr>
                  <w:tcW w:w="841" w:type="dxa"/>
                  <w:tcBorders>
                    <w:top w:val="nil"/>
                    <w:left w:val="nil"/>
                    <w:bottom w:val="nil"/>
                    <w:right w:val="nil"/>
                  </w:tcBorders>
                  <w:shd w:val="clear" w:color="auto" w:fill="auto"/>
                  <w:noWrap/>
                  <w:vAlign w:val="center"/>
                  <w:hideMark/>
                </w:tcPr>
                <w:p w14:paraId="36965FF8"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41EC867C"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29F01146" w14:textId="77777777" w:rsidR="009111E9" w:rsidRPr="009111E9" w:rsidRDefault="009111E9" w:rsidP="009111E9">
                  <w:pPr>
                    <w:widowControl/>
                    <w:jc w:val="center"/>
                    <w:rPr>
                      <w:rFonts w:ascii="Times New Roman" w:eastAsia="Times New Roman" w:hAnsi="Times New Roman"/>
                      <w:kern w:val="0"/>
                      <w:sz w:val="20"/>
                      <w:szCs w:val="20"/>
                    </w:rPr>
                  </w:pPr>
                </w:p>
              </w:tc>
              <w:tc>
                <w:tcPr>
                  <w:tcW w:w="960" w:type="dxa"/>
                  <w:tcBorders>
                    <w:top w:val="nil"/>
                    <w:left w:val="nil"/>
                    <w:bottom w:val="nil"/>
                    <w:right w:val="nil"/>
                  </w:tcBorders>
                  <w:shd w:val="clear" w:color="auto" w:fill="auto"/>
                  <w:noWrap/>
                  <w:vAlign w:val="center"/>
                  <w:hideMark/>
                </w:tcPr>
                <w:p w14:paraId="79D3762E" w14:textId="77777777" w:rsidR="009111E9" w:rsidRPr="009111E9" w:rsidRDefault="009111E9" w:rsidP="009111E9">
                  <w:pPr>
                    <w:widowControl/>
                    <w:jc w:val="center"/>
                    <w:rPr>
                      <w:rFonts w:ascii="Times New Roman" w:eastAsia="Times New Roman" w:hAnsi="Times New Roman"/>
                      <w:kern w:val="0"/>
                      <w:sz w:val="20"/>
                      <w:szCs w:val="20"/>
                    </w:rPr>
                  </w:pPr>
                </w:p>
              </w:tc>
            </w:tr>
            <w:tr w:rsidR="009111E9" w:rsidRPr="009111E9" w14:paraId="01096B7E" w14:textId="77777777" w:rsidTr="009111E9">
              <w:trPr>
                <w:trHeight w:val="385"/>
              </w:trPr>
              <w:tc>
                <w:tcPr>
                  <w:tcW w:w="1334" w:type="dxa"/>
                  <w:tcBorders>
                    <w:top w:val="nil"/>
                    <w:left w:val="nil"/>
                    <w:bottom w:val="single" w:sz="12" w:space="0" w:color="FFFFFF"/>
                    <w:right w:val="single" w:sz="8" w:space="0" w:color="FFFFFF"/>
                  </w:tcBorders>
                  <w:shd w:val="clear" w:color="000000" w:fill="F79646"/>
                  <w:noWrap/>
                  <w:vAlign w:val="center"/>
                  <w:hideMark/>
                </w:tcPr>
                <w:p w14:paraId="325394C2"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收益率分位</w:t>
                  </w:r>
                </w:p>
              </w:tc>
              <w:tc>
                <w:tcPr>
                  <w:tcW w:w="810" w:type="dxa"/>
                  <w:tcBorders>
                    <w:top w:val="nil"/>
                    <w:left w:val="nil"/>
                    <w:bottom w:val="single" w:sz="12" w:space="0" w:color="FFFFFF"/>
                    <w:right w:val="single" w:sz="8" w:space="0" w:color="FFFFFF"/>
                  </w:tcBorders>
                  <w:shd w:val="clear" w:color="000000" w:fill="F79646"/>
                  <w:noWrap/>
                  <w:vAlign w:val="center"/>
                  <w:hideMark/>
                </w:tcPr>
                <w:p w14:paraId="4B7E9292"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51C9B870"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42B592E1"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884" w:type="dxa"/>
                  <w:tcBorders>
                    <w:top w:val="nil"/>
                    <w:left w:val="nil"/>
                    <w:bottom w:val="single" w:sz="12" w:space="0" w:color="FFFFFF"/>
                    <w:right w:val="single" w:sz="8" w:space="0" w:color="FFFFFF"/>
                  </w:tcBorders>
                  <w:shd w:val="clear" w:color="000000" w:fill="F79646"/>
                  <w:noWrap/>
                  <w:vAlign w:val="center"/>
                  <w:hideMark/>
                </w:tcPr>
                <w:p w14:paraId="4AD094AF"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1154" w:type="dxa"/>
                  <w:tcBorders>
                    <w:top w:val="nil"/>
                    <w:left w:val="nil"/>
                    <w:bottom w:val="single" w:sz="12" w:space="0" w:color="FFFFFF"/>
                    <w:right w:val="single" w:sz="8" w:space="0" w:color="FFFFFF"/>
                  </w:tcBorders>
                  <w:shd w:val="clear" w:color="000000" w:fill="F79646"/>
                  <w:noWrap/>
                  <w:vAlign w:val="center"/>
                  <w:hideMark/>
                </w:tcPr>
                <w:p w14:paraId="3EE4DA56"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息差</w:t>
                  </w:r>
                </w:p>
              </w:tc>
              <w:tc>
                <w:tcPr>
                  <w:tcW w:w="841" w:type="dxa"/>
                  <w:tcBorders>
                    <w:top w:val="nil"/>
                    <w:left w:val="nil"/>
                    <w:bottom w:val="single" w:sz="12" w:space="0" w:color="FFFFFF"/>
                    <w:right w:val="single" w:sz="8" w:space="0" w:color="FFFFFF"/>
                  </w:tcBorders>
                  <w:shd w:val="clear" w:color="000000" w:fill="F79646"/>
                  <w:noWrap/>
                  <w:vAlign w:val="center"/>
                  <w:hideMark/>
                </w:tcPr>
                <w:p w14:paraId="6C98EA22"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415B12D6"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5DEE7894"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2094A1A1" w14:textId="77777777" w:rsidR="009111E9" w:rsidRPr="009111E9" w:rsidRDefault="009111E9" w:rsidP="009111E9">
                  <w:pPr>
                    <w:widowControl/>
                    <w:jc w:val="center"/>
                    <w:rPr>
                      <w:rFonts w:ascii="楷体" w:eastAsia="楷体" w:hAnsi="楷体" w:cs="宋体"/>
                      <w:b/>
                      <w:bCs/>
                      <w:color w:val="FFFFFF"/>
                      <w:kern w:val="0"/>
                      <w:sz w:val="20"/>
                      <w:szCs w:val="20"/>
                    </w:rPr>
                  </w:pPr>
                  <w:r w:rsidRPr="009111E9">
                    <w:rPr>
                      <w:rFonts w:ascii="楷体" w:eastAsia="楷体" w:hAnsi="楷体" w:cs="宋体" w:hint="eastAsia"/>
                      <w:b/>
                      <w:bCs/>
                      <w:color w:val="FFFFFF"/>
                      <w:kern w:val="0"/>
                      <w:sz w:val="20"/>
                      <w:szCs w:val="20"/>
                    </w:rPr>
                    <w:t>AA-</w:t>
                  </w:r>
                </w:p>
              </w:tc>
            </w:tr>
            <w:tr w:rsidR="009111E9" w:rsidRPr="009111E9" w14:paraId="4AAFC914" w14:textId="77777777" w:rsidTr="009111E9">
              <w:trPr>
                <w:trHeight w:val="397"/>
              </w:trPr>
              <w:tc>
                <w:tcPr>
                  <w:tcW w:w="1334" w:type="dxa"/>
                  <w:tcBorders>
                    <w:top w:val="nil"/>
                    <w:left w:val="nil"/>
                    <w:bottom w:val="single" w:sz="8" w:space="0" w:color="FFFFFF"/>
                    <w:right w:val="single" w:sz="8" w:space="0" w:color="FFFFFF"/>
                  </w:tcBorders>
                  <w:shd w:val="clear" w:color="000000" w:fill="FCD5B4"/>
                  <w:noWrap/>
                  <w:vAlign w:val="center"/>
                  <w:hideMark/>
                </w:tcPr>
                <w:p w14:paraId="616D779F"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CP</w:t>
                  </w:r>
                </w:p>
              </w:tc>
              <w:tc>
                <w:tcPr>
                  <w:tcW w:w="810" w:type="dxa"/>
                  <w:tcBorders>
                    <w:top w:val="nil"/>
                    <w:left w:val="nil"/>
                    <w:bottom w:val="single" w:sz="8" w:space="0" w:color="FFFFFF"/>
                    <w:right w:val="single" w:sz="8" w:space="0" w:color="FFFFFF"/>
                  </w:tcBorders>
                  <w:shd w:val="clear" w:color="000000" w:fill="FCD5B4"/>
                  <w:noWrap/>
                  <w:vAlign w:val="center"/>
                  <w:hideMark/>
                </w:tcPr>
                <w:p w14:paraId="3F92E71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29%</w:t>
                  </w:r>
                </w:p>
              </w:tc>
              <w:tc>
                <w:tcPr>
                  <w:tcW w:w="960" w:type="dxa"/>
                  <w:tcBorders>
                    <w:top w:val="nil"/>
                    <w:left w:val="nil"/>
                    <w:bottom w:val="single" w:sz="8" w:space="0" w:color="FFFFFF"/>
                    <w:right w:val="single" w:sz="8" w:space="0" w:color="FFFFFF"/>
                  </w:tcBorders>
                  <w:shd w:val="clear" w:color="000000" w:fill="FCD5B4"/>
                  <w:noWrap/>
                  <w:vAlign w:val="center"/>
                  <w:hideMark/>
                </w:tcPr>
                <w:p w14:paraId="01B8BBA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27%</w:t>
                  </w:r>
                </w:p>
              </w:tc>
              <w:tc>
                <w:tcPr>
                  <w:tcW w:w="960" w:type="dxa"/>
                  <w:tcBorders>
                    <w:top w:val="nil"/>
                    <w:left w:val="nil"/>
                    <w:bottom w:val="single" w:sz="8" w:space="0" w:color="FFFFFF"/>
                    <w:right w:val="single" w:sz="8" w:space="0" w:color="FFFFFF"/>
                  </w:tcBorders>
                  <w:shd w:val="clear" w:color="000000" w:fill="FCD5B4"/>
                  <w:noWrap/>
                  <w:vAlign w:val="center"/>
                  <w:hideMark/>
                </w:tcPr>
                <w:p w14:paraId="2704663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36%</w:t>
                  </w:r>
                </w:p>
              </w:tc>
              <w:tc>
                <w:tcPr>
                  <w:tcW w:w="884" w:type="dxa"/>
                  <w:tcBorders>
                    <w:top w:val="nil"/>
                    <w:left w:val="nil"/>
                    <w:bottom w:val="single" w:sz="8" w:space="0" w:color="FFFFFF"/>
                    <w:right w:val="single" w:sz="8" w:space="0" w:color="FFFFFF"/>
                  </w:tcBorders>
                  <w:shd w:val="clear" w:color="000000" w:fill="FCD5B4"/>
                  <w:noWrap/>
                  <w:vAlign w:val="center"/>
                  <w:hideMark/>
                </w:tcPr>
                <w:p w14:paraId="6ED11BD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67%</w:t>
                  </w:r>
                </w:p>
              </w:tc>
              <w:tc>
                <w:tcPr>
                  <w:tcW w:w="1154" w:type="dxa"/>
                  <w:tcBorders>
                    <w:top w:val="nil"/>
                    <w:left w:val="nil"/>
                    <w:bottom w:val="single" w:sz="8" w:space="0" w:color="FFFFFF"/>
                    <w:right w:val="single" w:sz="8" w:space="0" w:color="FFFFFF"/>
                  </w:tcBorders>
                  <w:shd w:val="clear" w:color="000000" w:fill="FCD5B4"/>
                  <w:noWrap/>
                  <w:vAlign w:val="center"/>
                  <w:hideMark/>
                </w:tcPr>
                <w:p w14:paraId="67255D12"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CP</w:t>
                  </w:r>
                </w:p>
              </w:tc>
              <w:tc>
                <w:tcPr>
                  <w:tcW w:w="841" w:type="dxa"/>
                  <w:tcBorders>
                    <w:top w:val="nil"/>
                    <w:left w:val="nil"/>
                    <w:bottom w:val="single" w:sz="8" w:space="0" w:color="FFFFFF"/>
                    <w:right w:val="single" w:sz="8" w:space="0" w:color="FFFFFF"/>
                  </w:tcBorders>
                  <w:shd w:val="clear" w:color="000000" w:fill="FCD5B4"/>
                  <w:noWrap/>
                  <w:vAlign w:val="center"/>
                  <w:hideMark/>
                </w:tcPr>
                <w:p w14:paraId="1F705947"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0%</w:t>
                  </w:r>
                </w:p>
              </w:tc>
              <w:tc>
                <w:tcPr>
                  <w:tcW w:w="960" w:type="dxa"/>
                  <w:tcBorders>
                    <w:top w:val="nil"/>
                    <w:left w:val="nil"/>
                    <w:bottom w:val="single" w:sz="8" w:space="0" w:color="FFFFFF"/>
                    <w:right w:val="single" w:sz="8" w:space="0" w:color="FFFFFF"/>
                  </w:tcBorders>
                  <w:shd w:val="clear" w:color="000000" w:fill="FCD5B4"/>
                  <w:noWrap/>
                  <w:vAlign w:val="center"/>
                  <w:hideMark/>
                </w:tcPr>
                <w:p w14:paraId="341DB53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w:t>
                  </w:r>
                </w:p>
              </w:tc>
              <w:tc>
                <w:tcPr>
                  <w:tcW w:w="960" w:type="dxa"/>
                  <w:tcBorders>
                    <w:top w:val="nil"/>
                    <w:left w:val="nil"/>
                    <w:bottom w:val="single" w:sz="8" w:space="0" w:color="FFFFFF"/>
                    <w:right w:val="single" w:sz="8" w:space="0" w:color="FFFFFF"/>
                  </w:tcBorders>
                  <w:shd w:val="clear" w:color="000000" w:fill="FCD5B4"/>
                  <w:noWrap/>
                  <w:vAlign w:val="center"/>
                  <w:hideMark/>
                </w:tcPr>
                <w:p w14:paraId="72BCB558"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17%</w:t>
                  </w:r>
                </w:p>
              </w:tc>
              <w:tc>
                <w:tcPr>
                  <w:tcW w:w="960" w:type="dxa"/>
                  <w:tcBorders>
                    <w:top w:val="nil"/>
                    <w:left w:val="nil"/>
                    <w:bottom w:val="single" w:sz="8" w:space="0" w:color="FFFFFF"/>
                    <w:right w:val="single" w:sz="8" w:space="0" w:color="FFFFFF"/>
                  </w:tcBorders>
                  <w:shd w:val="clear" w:color="000000" w:fill="FCD5B4"/>
                  <w:noWrap/>
                  <w:vAlign w:val="center"/>
                  <w:hideMark/>
                </w:tcPr>
                <w:p w14:paraId="4C85F90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74%</w:t>
                  </w:r>
                </w:p>
              </w:tc>
            </w:tr>
            <w:tr w:rsidR="009111E9" w:rsidRPr="009111E9" w14:paraId="02203700"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54C1D2F0"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MTN3Y</w:t>
                  </w:r>
                </w:p>
              </w:tc>
              <w:tc>
                <w:tcPr>
                  <w:tcW w:w="810" w:type="dxa"/>
                  <w:tcBorders>
                    <w:top w:val="nil"/>
                    <w:left w:val="nil"/>
                    <w:bottom w:val="single" w:sz="8" w:space="0" w:color="FFFFFF"/>
                    <w:right w:val="single" w:sz="8" w:space="0" w:color="FFFFFF"/>
                  </w:tcBorders>
                  <w:shd w:val="clear" w:color="000000" w:fill="FDE9D9"/>
                  <w:noWrap/>
                  <w:vAlign w:val="center"/>
                  <w:hideMark/>
                </w:tcPr>
                <w:p w14:paraId="2AC636C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30%</w:t>
                  </w:r>
                </w:p>
              </w:tc>
              <w:tc>
                <w:tcPr>
                  <w:tcW w:w="960" w:type="dxa"/>
                  <w:tcBorders>
                    <w:top w:val="nil"/>
                    <w:left w:val="nil"/>
                    <w:bottom w:val="single" w:sz="8" w:space="0" w:color="FFFFFF"/>
                    <w:right w:val="single" w:sz="8" w:space="0" w:color="FFFFFF"/>
                  </w:tcBorders>
                  <w:shd w:val="clear" w:color="000000" w:fill="FDE9D9"/>
                  <w:noWrap/>
                  <w:vAlign w:val="center"/>
                  <w:hideMark/>
                </w:tcPr>
                <w:p w14:paraId="112F3D5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30%</w:t>
                  </w:r>
                </w:p>
              </w:tc>
              <w:tc>
                <w:tcPr>
                  <w:tcW w:w="960" w:type="dxa"/>
                  <w:tcBorders>
                    <w:top w:val="nil"/>
                    <w:left w:val="nil"/>
                    <w:bottom w:val="single" w:sz="8" w:space="0" w:color="FFFFFF"/>
                    <w:right w:val="single" w:sz="8" w:space="0" w:color="FFFFFF"/>
                  </w:tcBorders>
                  <w:shd w:val="clear" w:color="000000" w:fill="FDE9D9"/>
                  <w:noWrap/>
                  <w:vAlign w:val="center"/>
                  <w:hideMark/>
                </w:tcPr>
                <w:p w14:paraId="5C51FBE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35%</w:t>
                  </w:r>
                </w:p>
              </w:tc>
              <w:tc>
                <w:tcPr>
                  <w:tcW w:w="884" w:type="dxa"/>
                  <w:tcBorders>
                    <w:top w:val="nil"/>
                    <w:left w:val="nil"/>
                    <w:bottom w:val="single" w:sz="8" w:space="0" w:color="FFFFFF"/>
                    <w:right w:val="single" w:sz="8" w:space="0" w:color="FFFFFF"/>
                  </w:tcBorders>
                  <w:shd w:val="clear" w:color="000000" w:fill="FDE9D9"/>
                  <w:noWrap/>
                  <w:vAlign w:val="center"/>
                  <w:hideMark/>
                </w:tcPr>
                <w:p w14:paraId="503A25C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71%</w:t>
                  </w:r>
                </w:p>
              </w:tc>
              <w:tc>
                <w:tcPr>
                  <w:tcW w:w="1154" w:type="dxa"/>
                  <w:tcBorders>
                    <w:top w:val="nil"/>
                    <w:left w:val="nil"/>
                    <w:bottom w:val="single" w:sz="8" w:space="0" w:color="FFFFFF"/>
                    <w:right w:val="single" w:sz="8" w:space="0" w:color="FFFFFF"/>
                  </w:tcBorders>
                  <w:shd w:val="clear" w:color="000000" w:fill="FDE9D9"/>
                  <w:noWrap/>
                  <w:vAlign w:val="center"/>
                  <w:hideMark/>
                </w:tcPr>
                <w:p w14:paraId="61C776F0"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MTN3Y</w:t>
                  </w:r>
                </w:p>
              </w:tc>
              <w:tc>
                <w:tcPr>
                  <w:tcW w:w="841" w:type="dxa"/>
                  <w:tcBorders>
                    <w:top w:val="nil"/>
                    <w:left w:val="nil"/>
                    <w:bottom w:val="single" w:sz="8" w:space="0" w:color="FFFFFF"/>
                    <w:right w:val="single" w:sz="8" w:space="0" w:color="FFFFFF"/>
                  </w:tcBorders>
                  <w:shd w:val="clear" w:color="000000" w:fill="FDE9D9"/>
                  <w:noWrap/>
                  <w:vAlign w:val="center"/>
                  <w:hideMark/>
                </w:tcPr>
                <w:p w14:paraId="3C2AD1D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11%</w:t>
                  </w:r>
                </w:p>
              </w:tc>
              <w:tc>
                <w:tcPr>
                  <w:tcW w:w="960" w:type="dxa"/>
                  <w:tcBorders>
                    <w:top w:val="nil"/>
                    <w:left w:val="nil"/>
                    <w:bottom w:val="single" w:sz="8" w:space="0" w:color="FFFFFF"/>
                    <w:right w:val="single" w:sz="8" w:space="0" w:color="FFFFFF"/>
                  </w:tcBorders>
                  <w:shd w:val="clear" w:color="000000" w:fill="FDE9D9"/>
                  <w:noWrap/>
                  <w:vAlign w:val="center"/>
                  <w:hideMark/>
                </w:tcPr>
                <w:p w14:paraId="51C2151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14%</w:t>
                  </w:r>
                </w:p>
              </w:tc>
              <w:tc>
                <w:tcPr>
                  <w:tcW w:w="960" w:type="dxa"/>
                  <w:tcBorders>
                    <w:top w:val="nil"/>
                    <w:left w:val="nil"/>
                    <w:bottom w:val="single" w:sz="8" w:space="0" w:color="FFFFFF"/>
                    <w:right w:val="single" w:sz="8" w:space="0" w:color="FFFFFF"/>
                  </w:tcBorders>
                  <w:shd w:val="clear" w:color="000000" w:fill="FDE9D9"/>
                  <w:noWrap/>
                  <w:vAlign w:val="center"/>
                  <w:hideMark/>
                </w:tcPr>
                <w:p w14:paraId="1DAF7B88"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22%</w:t>
                  </w:r>
                </w:p>
              </w:tc>
              <w:tc>
                <w:tcPr>
                  <w:tcW w:w="960" w:type="dxa"/>
                  <w:tcBorders>
                    <w:top w:val="nil"/>
                    <w:left w:val="nil"/>
                    <w:bottom w:val="single" w:sz="8" w:space="0" w:color="FFFFFF"/>
                    <w:right w:val="single" w:sz="8" w:space="0" w:color="FFFFFF"/>
                  </w:tcBorders>
                  <w:shd w:val="clear" w:color="000000" w:fill="FFC7CE"/>
                  <w:noWrap/>
                  <w:vAlign w:val="center"/>
                  <w:hideMark/>
                </w:tcPr>
                <w:p w14:paraId="7022CD05" w14:textId="77777777" w:rsidR="009111E9" w:rsidRPr="009111E9" w:rsidRDefault="009111E9" w:rsidP="009111E9">
                  <w:pPr>
                    <w:widowControl/>
                    <w:jc w:val="center"/>
                    <w:rPr>
                      <w:rFonts w:eastAsia="等线" w:cs="Calibri"/>
                      <w:color w:val="9C0006"/>
                      <w:kern w:val="0"/>
                      <w:szCs w:val="21"/>
                    </w:rPr>
                  </w:pPr>
                  <w:r w:rsidRPr="009111E9">
                    <w:rPr>
                      <w:rFonts w:eastAsia="等线" w:cs="Calibri"/>
                      <w:color w:val="9C0006"/>
                      <w:kern w:val="0"/>
                      <w:szCs w:val="21"/>
                    </w:rPr>
                    <w:t>81%</w:t>
                  </w:r>
                </w:p>
              </w:tc>
            </w:tr>
            <w:tr w:rsidR="009111E9" w:rsidRPr="009111E9" w14:paraId="39662098"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28EAA9FB"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MTN5Y</w:t>
                  </w:r>
                </w:p>
              </w:tc>
              <w:tc>
                <w:tcPr>
                  <w:tcW w:w="810" w:type="dxa"/>
                  <w:tcBorders>
                    <w:top w:val="nil"/>
                    <w:left w:val="nil"/>
                    <w:bottom w:val="single" w:sz="8" w:space="0" w:color="FFFFFF"/>
                    <w:right w:val="single" w:sz="8" w:space="0" w:color="FFFFFF"/>
                  </w:tcBorders>
                  <w:shd w:val="clear" w:color="000000" w:fill="FCD5B4"/>
                  <w:noWrap/>
                  <w:vAlign w:val="center"/>
                  <w:hideMark/>
                </w:tcPr>
                <w:p w14:paraId="4D87D7C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22%</w:t>
                  </w:r>
                </w:p>
              </w:tc>
              <w:tc>
                <w:tcPr>
                  <w:tcW w:w="960" w:type="dxa"/>
                  <w:tcBorders>
                    <w:top w:val="nil"/>
                    <w:left w:val="nil"/>
                    <w:bottom w:val="single" w:sz="8" w:space="0" w:color="FFFFFF"/>
                    <w:right w:val="single" w:sz="8" w:space="0" w:color="FFFFFF"/>
                  </w:tcBorders>
                  <w:shd w:val="clear" w:color="000000" w:fill="FCD5B4"/>
                  <w:noWrap/>
                  <w:vAlign w:val="center"/>
                  <w:hideMark/>
                </w:tcPr>
                <w:p w14:paraId="6F6CE23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20%</w:t>
                  </w:r>
                </w:p>
              </w:tc>
              <w:tc>
                <w:tcPr>
                  <w:tcW w:w="960" w:type="dxa"/>
                  <w:tcBorders>
                    <w:top w:val="nil"/>
                    <w:left w:val="nil"/>
                    <w:bottom w:val="single" w:sz="8" w:space="0" w:color="FFFFFF"/>
                    <w:right w:val="single" w:sz="8" w:space="0" w:color="FFFFFF"/>
                  </w:tcBorders>
                  <w:shd w:val="clear" w:color="000000" w:fill="FCD5B4"/>
                  <w:noWrap/>
                  <w:vAlign w:val="center"/>
                  <w:hideMark/>
                </w:tcPr>
                <w:p w14:paraId="3F2FA01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24%</w:t>
                  </w:r>
                </w:p>
              </w:tc>
              <w:tc>
                <w:tcPr>
                  <w:tcW w:w="884" w:type="dxa"/>
                  <w:tcBorders>
                    <w:top w:val="nil"/>
                    <w:left w:val="nil"/>
                    <w:bottom w:val="single" w:sz="8" w:space="0" w:color="FFFFFF"/>
                    <w:right w:val="single" w:sz="8" w:space="0" w:color="FFFFFF"/>
                  </w:tcBorders>
                  <w:shd w:val="clear" w:color="000000" w:fill="FCD5B4"/>
                  <w:noWrap/>
                  <w:vAlign w:val="center"/>
                  <w:hideMark/>
                </w:tcPr>
                <w:p w14:paraId="211E58A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61%</w:t>
                  </w:r>
                </w:p>
              </w:tc>
              <w:tc>
                <w:tcPr>
                  <w:tcW w:w="1154" w:type="dxa"/>
                  <w:tcBorders>
                    <w:top w:val="nil"/>
                    <w:left w:val="nil"/>
                    <w:bottom w:val="single" w:sz="8" w:space="0" w:color="FFFFFF"/>
                    <w:right w:val="single" w:sz="8" w:space="0" w:color="FFFFFF"/>
                  </w:tcBorders>
                  <w:shd w:val="clear" w:color="000000" w:fill="FCD5B4"/>
                  <w:noWrap/>
                  <w:vAlign w:val="center"/>
                  <w:hideMark/>
                </w:tcPr>
                <w:p w14:paraId="243C73AF"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MTN5Y</w:t>
                  </w:r>
                </w:p>
              </w:tc>
              <w:tc>
                <w:tcPr>
                  <w:tcW w:w="841" w:type="dxa"/>
                  <w:tcBorders>
                    <w:top w:val="nil"/>
                    <w:left w:val="nil"/>
                    <w:bottom w:val="single" w:sz="8" w:space="0" w:color="FFFFFF"/>
                    <w:right w:val="single" w:sz="8" w:space="0" w:color="FFFFFF"/>
                  </w:tcBorders>
                  <w:shd w:val="clear" w:color="000000" w:fill="FCD5B4"/>
                  <w:noWrap/>
                  <w:vAlign w:val="center"/>
                  <w:hideMark/>
                </w:tcPr>
                <w:p w14:paraId="3E2ED91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w:t>
                  </w:r>
                </w:p>
              </w:tc>
              <w:tc>
                <w:tcPr>
                  <w:tcW w:w="960" w:type="dxa"/>
                  <w:tcBorders>
                    <w:top w:val="nil"/>
                    <w:left w:val="nil"/>
                    <w:bottom w:val="single" w:sz="8" w:space="0" w:color="FFFFFF"/>
                    <w:right w:val="single" w:sz="8" w:space="0" w:color="FFFFFF"/>
                  </w:tcBorders>
                  <w:shd w:val="clear" w:color="000000" w:fill="FCD5B4"/>
                  <w:noWrap/>
                  <w:vAlign w:val="center"/>
                  <w:hideMark/>
                </w:tcPr>
                <w:p w14:paraId="264A288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w:t>
                  </w:r>
                </w:p>
              </w:tc>
              <w:tc>
                <w:tcPr>
                  <w:tcW w:w="960" w:type="dxa"/>
                  <w:tcBorders>
                    <w:top w:val="nil"/>
                    <w:left w:val="nil"/>
                    <w:bottom w:val="single" w:sz="8" w:space="0" w:color="FFFFFF"/>
                    <w:right w:val="single" w:sz="8" w:space="0" w:color="FFFFFF"/>
                  </w:tcBorders>
                  <w:shd w:val="clear" w:color="000000" w:fill="FCD5B4"/>
                  <w:noWrap/>
                  <w:vAlign w:val="center"/>
                  <w:hideMark/>
                </w:tcPr>
                <w:p w14:paraId="0600DA1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11%</w:t>
                  </w:r>
                </w:p>
              </w:tc>
              <w:tc>
                <w:tcPr>
                  <w:tcW w:w="960" w:type="dxa"/>
                  <w:tcBorders>
                    <w:top w:val="nil"/>
                    <w:left w:val="nil"/>
                    <w:bottom w:val="single" w:sz="8" w:space="0" w:color="FFFFFF"/>
                    <w:right w:val="single" w:sz="8" w:space="0" w:color="FFFFFF"/>
                  </w:tcBorders>
                  <w:shd w:val="clear" w:color="000000" w:fill="FCD5B4"/>
                  <w:noWrap/>
                  <w:vAlign w:val="center"/>
                  <w:hideMark/>
                </w:tcPr>
                <w:p w14:paraId="69BAAC05"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65%</w:t>
                  </w:r>
                </w:p>
              </w:tc>
            </w:tr>
            <w:tr w:rsidR="009111E9" w:rsidRPr="009111E9" w14:paraId="72A9CCF3"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1DFD4CD3"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企业债3Y</w:t>
                  </w:r>
                </w:p>
              </w:tc>
              <w:tc>
                <w:tcPr>
                  <w:tcW w:w="810" w:type="dxa"/>
                  <w:tcBorders>
                    <w:top w:val="nil"/>
                    <w:left w:val="nil"/>
                    <w:bottom w:val="single" w:sz="8" w:space="0" w:color="FFFFFF"/>
                    <w:right w:val="single" w:sz="8" w:space="0" w:color="FFFFFF"/>
                  </w:tcBorders>
                  <w:shd w:val="clear" w:color="000000" w:fill="FDE9D9"/>
                  <w:noWrap/>
                  <w:vAlign w:val="center"/>
                  <w:hideMark/>
                </w:tcPr>
                <w:p w14:paraId="1978F9D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29%</w:t>
                  </w:r>
                </w:p>
              </w:tc>
              <w:tc>
                <w:tcPr>
                  <w:tcW w:w="960" w:type="dxa"/>
                  <w:tcBorders>
                    <w:top w:val="nil"/>
                    <w:left w:val="nil"/>
                    <w:bottom w:val="single" w:sz="8" w:space="0" w:color="FFFFFF"/>
                    <w:right w:val="single" w:sz="8" w:space="0" w:color="FFFFFF"/>
                  </w:tcBorders>
                  <w:shd w:val="clear" w:color="000000" w:fill="FDE9D9"/>
                  <w:noWrap/>
                  <w:vAlign w:val="center"/>
                  <w:hideMark/>
                </w:tcPr>
                <w:p w14:paraId="5114A57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24%</w:t>
                  </w:r>
                </w:p>
              </w:tc>
              <w:tc>
                <w:tcPr>
                  <w:tcW w:w="960" w:type="dxa"/>
                  <w:tcBorders>
                    <w:top w:val="nil"/>
                    <w:left w:val="nil"/>
                    <w:bottom w:val="single" w:sz="8" w:space="0" w:color="FFFFFF"/>
                    <w:right w:val="single" w:sz="8" w:space="0" w:color="FFFFFF"/>
                  </w:tcBorders>
                  <w:shd w:val="clear" w:color="000000" w:fill="FDE9D9"/>
                  <w:noWrap/>
                  <w:vAlign w:val="center"/>
                  <w:hideMark/>
                </w:tcPr>
                <w:p w14:paraId="201D68B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29%</w:t>
                  </w:r>
                </w:p>
              </w:tc>
              <w:tc>
                <w:tcPr>
                  <w:tcW w:w="884" w:type="dxa"/>
                  <w:tcBorders>
                    <w:top w:val="nil"/>
                    <w:left w:val="nil"/>
                    <w:bottom w:val="single" w:sz="8" w:space="0" w:color="FFFFFF"/>
                    <w:right w:val="single" w:sz="8" w:space="0" w:color="FFFFFF"/>
                  </w:tcBorders>
                  <w:shd w:val="clear" w:color="000000" w:fill="FDE9D9"/>
                  <w:noWrap/>
                  <w:vAlign w:val="center"/>
                  <w:hideMark/>
                </w:tcPr>
                <w:p w14:paraId="234789E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62%</w:t>
                  </w:r>
                </w:p>
              </w:tc>
              <w:tc>
                <w:tcPr>
                  <w:tcW w:w="1154" w:type="dxa"/>
                  <w:tcBorders>
                    <w:top w:val="nil"/>
                    <w:left w:val="nil"/>
                    <w:bottom w:val="single" w:sz="8" w:space="0" w:color="FFFFFF"/>
                    <w:right w:val="single" w:sz="8" w:space="0" w:color="FFFFFF"/>
                  </w:tcBorders>
                  <w:shd w:val="clear" w:color="000000" w:fill="FDE9D9"/>
                  <w:noWrap/>
                  <w:vAlign w:val="center"/>
                  <w:hideMark/>
                </w:tcPr>
                <w:p w14:paraId="0A813C35"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企业债3Y</w:t>
                  </w:r>
                </w:p>
              </w:tc>
              <w:tc>
                <w:tcPr>
                  <w:tcW w:w="841" w:type="dxa"/>
                  <w:tcBorders>
                    <w:top w:val="nil"/>
                    <w:left w:val="nil"/>
                    <w:bottom w:val="single" w:sz="8" w:space="0" w:color="FFFFFF"/>
                    <w:right w:val="single" w:sz="8" w:space="0" w:color="FFFFFF"/>
                  </w:tcBorders>
                  <w:shd w:val="clear" w:color="000000" w:fill="FDE9D9"/>
                  <w:noWrap/>
                  <w:vAlign w:val="center"/>
                  <w:hideMark/>
                </w:tcPr>
                <w:p w14:paraId="1AEF6AF6"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5%</w:t>
                  </w:r>
                </w:p>
              </w:tc>
              <w:tc>
                <w:tcPr>
                  <w:tcW w:w="960" w:type="dxa"/>
                  <w:tcBorders>
                    <w:top w:val="nil"/>
                    <w:left w:val="nil"/>
                    <w:bottom w:val="single" w:sz="8" w:space="0" w:color="FFFFFF"/>
                    <w:right w:val="single" w:sz="8" w:space="0" w:color="FFFFFF"/>
                  </w:tcBorders>
                  <w:shd w:val="clear" w:color="000000" w:fill="FDE9D9"/>
                  <w:noWrap/>
                  <w:vAlign w:val="center"/>
                  <w:hideMark/>
                </w:tcPr>
                <w:p w14:paraId="6DE7319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5%</w:t>
                  </w:r>
                </w:p>
              </w:tc>
              <w:tc>
                <w:tcPr>
                  <w:tcW w:w="960" w:type="dxa"/>
                  <w:tcBorders>
                    <w:top w:val="nil"/>
                    <w:left w:val="nil"/>
                    <w:bottom w:val="single" w:sz="8" w:space="0" w:color="FFFFFF"/>
                    <w:right w:val="single" w:sz="8" w:space="0" w:color="FFFFFF"/>
                  </w:tcBorders>
                  <w:shd w:val="clear" w:color="000000" w:fill="FDE9D9"/>
                  <w:noWrap/>
                  <w:vAlign w:val="center"/>
                  <w:hideMark/>
                </w:tcPr>
                <w:p w14:paraId="5965451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14%</w:t>
                  </w:r>
                </w:p>
              </w:tc>
              <w:tc>
                <w:tcPr>
                  <w:tcW w:w="960" w:type="dxa"/>
                  <w:tcBorders>
                    <w:top w:val="nil"/>
                    <w:left w:val="nil"/>
                    <w:bottom w:val="single" w:sz="8" w:space="0" w:color="FFFFFF"/>
                    <w:right w:val="single" w:sz="8" w:space="0" w:color="FFFFFF"/>
                  </w:tcBorders>
                  <w:shd w:val="clear" w:color="000000" w:fill="FDE9D9"/>
                  <w:noWrap/>
                  <w:vAlign w:val="center"/>
                  <w:hideMark/>
                </w:tcPr>
                <w:p w14:paraId="1D1967A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69%</w:t>
                  </w:r>
                </w:p>
              </w:tc>
            </w:tr>
            <w:tr w:rsidR="009111E9" w:rsidRPr="009111E9" w14:paraId="67C3348B"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77288654"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企业债5Y</w:t>
                  </w:r>
                </w:p>
              </w:tc>
              <w:tc>
                <w:tcPr>
                  <w:tcW w:w="810" w:type="dxa"/>
                  <w:tcBorders>
                    <w:top w:val="nil"/>
                    <w:left w:val="nil"/>
                    <w:bottom w:val="single" w:sz="8" w:space="0" w:color="FFFFFF"/>
                    <w:right w:val="single" w:sz="8" w:space="0" w:color="FFFFFF"/>
                  </w:tcBorders>
                  <w:shd w:val="clear" w:color="000000" w:fill="FCD5B4"/>
                  <w:noWrap/>
                  <w:vAlign w:val="center"/>
                  <w:hideMark/>
                </w:tcPr>
                <w:p w14:paraId="68B62EB0"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23%</w:t>
                  </w:r>
                </w:p>
              </w:tc>
              <w:tc>
                <w:tcPr>
                  <w:tcW w:w="960" w:type="dxa"/>
                  <w:tcBorders>
                    <w:top w:val="nil"/>
                    <w:left w:val="nil"/>
                    <w:bottom w:val="single" w:sz="8" w:space="0" w:color="FFFFFF"/>
                    <w:right w:val="single" w:sz="8" w:space="0" w:color="FFFFFF"/>
                  </w:tcBorders>
                  <w:shd w:val="clear" w:color="000000" w:fill="FCD5B4"/>
                  <w:noWrap/>
                  <w:vAlign w:val="center"/>
                  <w:hideMark/>
                </w:tcPr>
                <w:p w14:paraId="3029FE9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19%</w:t>
                  </w:r>
                </w:p>
              </w:tc>
              <w:tc>
                <w:tcPr>
                  <w:tcW w:w="960" w:type="dxa"/>
                  <w:tcBorders>
                    <w:top w:val="nil"/>
                    <w:left w:val="nil"/>
                    <w:bottom w:val="single" w:sz="8" w:space="0" w:color="FFFFFF"/>
                    <w:right w:val="single" w:sz="8" w:space="0" w:color="FFFFFF"/>
                  </w:tcBorders>
                  <w:shd w:val="clear" w:color="000000" w:fill="FCD5B4"/>
                  <w:noWrap/>
                  <w:vAlign w:val="center"/>
                  <w:hideMark/>
                </w:tcPr>
                <w:p w14:paraId="56199D5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18%</w:t>
                  </w:r>
                </w:p>
              </w:tc>
              <w:tc>
                <w:tcPr>
                  <w:tcW w:w="884" w:type="dxa"/>
                  <w:tcBorders>
                    <w:top w:val="nil"/>
                    <w:left w:val="nil"/>
                    <w:bottom w:val="single" w:sz="8" w:space="0" w:color="FFFFFF"/>
                    <w:right w:val="single" w:sz="8" w:space="0" w:color="FFFFFF"/>
                  </w:tcBorders>
                  <w:shd w:val="clear" w:color="000000" w:fill="FCD5B4"/>
                  <w:noWrap/>
                  <w:vAlign w:val="center"/>
                  <w:hideMark/>
                </w:tcPr>
                <w:p w14:paraId="2FB6A17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53%</w:t>
                  </w:r>
                </w:p>
              </w:tc>
              <w:tc>
                <w:tcPr>
                  <w:tcW w:w="1154" w:type="dxa"/>
                  <w:tcBorders>
                    <w:top w:val="nil"/>
                    <w:left w:val="nil"/>
                    <w:bottom w:val="single" w:sz="8" w:space="0" w:color="FFFFFF"/>
                    <w:right w:val="single" w:sz="8" w:space="0" w:color="FFFFFF"/>
                  </w:tcBorders>
                  <w:shd w:val="clear" w:color="000000" w:fill="FCD5B4"/>
                  <w:noWrap/>
                  <w:vAlign w:val="center"/>
                  <w:hideMark/>
                </w:tcPr>
                <w:p w14:paraId="0C5D6AA3"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企业债5Y</w:t>
                  </w:r>
                </w:p>
              </w:tc>
              <w:tc>
                <w:tcPr>
                  <w:tcW w:w="841" w:type="dxa"/>
                  <w:tcBorders>
                    <w:top w:val="nil"/>
                    <w:left w:val="nil"/>
                    <w:bottom w:val="single" w:sz="8" w:space="0" w:color="FFFFFF"/>
                    <w:right w:val="single" w:sz="8" w:space="0" w:color="FFFFFF"/>
                  </w:tcBorders>
                  <w:shd w:val="clear" w:color="000000" w:fill="FCD5B4"/>
                  <w:noWrap/>
                  <w:vAlign w:val="center"/>
                  <w:hideMark/>
                </w:tcPr>
                <w:p w14:paraId="76D0B43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w:t>
                  </w:r>
                </w:p>
              </w:tc>
              <w:tc>
                <w:tcPr>
                  <w:tcW w:w="960" w:type="dxa"/>
                  <w:tcBorders>
                    <w:top w:val="nil"/>
                    <w:left w:val="nil"/>
                    <w:bottom w:val="single" w:sz="8" w:space="0" w:color="FFFFFF"/>
                    <w:right w:val="single" w:sz="8" w:space="0" w:color="FFFFFF"/>
                  </w:tcBorders>
                  <w:shd w:val="clear" w:color="000000" w:fill="FCD5B4"/>
                  <w:noWrap/>
                  <w:vAlign w:val="center"/>
                  <w:hideMark/>
                </w:tcPr>
                <w:p w14:paraId="3F9ED3B6"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4%</w:t>
                  </w:r>
                </w:p>
              </w:tc>
              <w:tc>
                <w:tcPr>
                  <w:tcW w:w="960" w:type="dxa"/>
                  <w:tcBorders>
                    <w:top w:val="nil"/>
                    <w:left w:val="nil"/>
                    <w:bottom w:val="single" w:sz="8" w:space="0" w:color="FFFFFF"/>
                    <w:right w:val="single" w:sz="8" w:space="0" w:color="FFFFFF"/>
                  </w:tcBorders>
                  <w:shd w:val="clear" w:color="000000" w:fill="FCD5B4"/>
                  <w:noWrap/>
                  <w:vAlign w:val="center"/>
                  <w:hideMark/>
                </w:tcPr>
                <w:p w14:paraId="4B2CC14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4%</w:t>
                  </w:r>
                </w:p>
              </w:tc>
              <w:tc>
                <w:tcPr>
                  <w:tcW w:w="960" w:type="dxa"/>
                  <w:tcBorders>
                    <w:top w:val="nil"/>
                    <w:left w:val="nil"/>
                    <w:bottom w:val="single" w:sz="8" w:space="0" w:color="FFFFFF"/>
                    <w:right w:val="single" w:sz="8" w:space="0" w:color="FFFFFF"/>
                  </w:tcBorders>
                  <w:shd w:val="clear" w:color="000000" w:fill="FCD5B4"/>
                  <w:noWrap/>
                  <w:vAlign w:val="center"/>
                  <w:hideMark/>
                </w:tcPr>
                <w:p w14:paraId="0EFF008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57%</w:t>
                  </w:r>
                </w:p>
              </w:tc>
            </w:tr>
            <w:tr w:rsidR="009111E9" w:rsidRPr="009111E9" w14:paraId="44E6F61D"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46C3B6FA"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企业债7Y</w:t>
                  </w:r>
                </w:p>
              </w:tc>
              <w:tc>
                <w:tcPr>
                  <w:tcW w:w="810" w:type="dxa"/>
                  <w:tcBorders>
                    <w:top w:val="nil"/>
                    <w:left w:val="nil"/>
                    <w:bottom w:val="single" w:sz="8" w:space="0" w:color="FFFFFF"/>
                    <w:right w:val="single" w:sz="8" w:space="0" w:color="FFFFFF"/>
                  </w:tcBorders>
                  <w:shd w:val="clear" w:color="000000" w:fill="FDE9D9"/>
                  <w:noWrap/>
                  <w:vAlign w:val="center"/>
                  <w:hideMark/>
                </w:tcPr>
                <w:p w14:paraId="5D4F5FAC"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14%</w:t>
                  </w:r>
                </w:p>
              </w:tc>
              <w:tc>
                <w:tcPr>
                  <w:tcW w:w="960" w:type="dxa"/>
                  <w:tcBorders>
                    <w:top w:val="nil"/>
                    <w:left w:val="nil"/>
                    <w:bottom w:val="single" w:sz="8" w:space="0" w:color="FFFFFF"/>
                    <w:right w:val="single" w:sz="8" w:space="0" w:color="FFFFFF"/>
                  </w:tcBorders>
                  <w:shd w:val="clear" w:color="000000" w:fill="FDE9D9"/>
                  <w:noWrap/>
                  <w:vAlign w:val="center"/>
                  <w:hideMark/>
                </w:tcPr>
                <w:p w14:paraId="491634E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8%</w:t>
                  </w:r>
                </w:p>
              </w:tc>
              <w:tc>
                <w:tcPr>
                  <w:tcW w:w="960" w:type="dxa"/>
                  <w:tcBorders>
                    <w:top w:val="nil"/>
                    <w:left w:val="nil"/>
                    <w:bottom w:val="single" w:sz="8" w:space="0" w:color="FFFFFF"/>
                    <w:right w:val="single" w:sz="8" w:space="0" w:color="FFFFFF"/>
                  </w:tcBorders>
                  <w:shd w:val="clear" w:color="000000" w:fill="FDE9D9"/>
                  <w:noWrap/>
                  <w:vAlign w:val="center"/>
                  <w:hideMark/>
                </w:tcPr>
                <w:p w14:paraId="73F97A6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w:t>
                  </w:r>
                </w:p>
              </w:tc>
              <w:tc>
                <w:tcPr>
                  <w:tcW w:w="884" w:type="dxa"/>
                  <w:tcBorders>
                    <w:top w:val="nil"/>
                    <w:left w:val="nil"/>
                    <w:bottom w:val="single" w:sz="8" w:space="0" w:color="FFFFFF"/>
                    <w:right w:val="single" w:sz="8" w:space="0" w:color="FFFFFF"/>
                  </w:tcBorders>
                  <w:shd w:val="clear" w:color="000000" w:fill="FDE9D9"/>
                  <w:noWrap/>
                  <w:vAlign w:val="center"/>
                  <w:hideMark/>
                </w:tcPr>
                <w:p w14:paraId="44DAC45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39%</w:t>
                  </w:r>
                </w:p>
              </w:tc>
              <w:tc>
                <w:tcPr>
                  <w:tcW w:w="1154" w:type="dxa"/>
                  <w:tcBorders>
                    <w:top w:val="nil"/>
                    <w:left w:val="nil"/>
                    <w:bottom w:val="single" w:sz="8" w:space="0" w:color="FFFFFF"/>
                    <w:right w:val="single" w:sz="8" w:space="0" w:color="FFFFFF"/>
                  </w:tcBorders>
                  <w:shd w:val="clear" w:color="000000" w:fill="FDE9D9"/>
                  <w:noWrap/>
                  <w:vAlign w:val="center"/>
                  <w:hideMark/>
                </w:tcPr>
                <w:p w14:paraId="17AB63E0" w14:textId="77777777" w:rsidR="009111E9" w:rsidRPr="009111E9" w:rsidRDefault="009111E9" w:rsidP="009111E9">
                  <w:pPr>
                    <w:widowControl/>
                    <w:jc w:val="center"/>
                    <w:rPr>
                      <w:rFonts w:ascii="楷体" w:eastAsia="楷体" w:hAnsi="楷体" w:cs="宋体"/>
                      <w:color w:val="000000"/>
                      <w:kern w:val="0"/>
                      <w:sz w:val="20"/>
                      <w:szCs w:val="20"/>
                    </w:rPr>
                  </w:pPr>
                  <w:r w:rsidRPr="009111E9">
                    <w:rPr>
                      <w:rFonts w:ascii="楷体" w:eastAsia="楷体" w:hAnsi="楷体" w:cs="宋体" w:hint="eastAsia"/>
                      <w:color w:val="000000"/>
                      <w:kern w:val="0"/>
                      <w:sz w:val="20"/>
                      <w:szCs w:val="20"/>
                    </w:rPr>
                    <w:t>企业债7Y</w:t>
                  </w:r>
                </w:p>
              </w:tc>
              <w:tc>
                <w:tcPr>
                  <w:tcW w:w="841" w:type="dxa"/>
                  <w:tcBorders>
                    <w:top w:val="nil"/>
                    <w:left w:val="nil"/>
                    <w:bottom w:val="single" w:sz="8" w:space="0" w:color="FFFFFF"/>
                    <w:right w:val="single" w:sz="8" w:space="0" w:color="FFFFFF"/>
                  </w:tcBorders>
                  <w:shd w:val="clear" w:color="000000" w:fill="FDE9D9"/>
                  <w:noWrap/>
                  <w:vAlign w:val="center"/>
                  <w:hideMark/>
                </w:tcPr>
                <w:p w14:paraId="25233E2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3%</w:t>
                  </w:r>
                </w:p>
              </w:tc>
              <w:tc>
                <w:tcPr>
                  <w:tcW w:w="960" w:type="dxa"/>
                  <w:tcBorders>
                    <w:top w:val="nil"/>
                    <w:left w:val="nil"/>
                    <w:bottom w:val="single" w:sz="8" w:space="0" w:color="FFFFFF"/>
                    <w:right w:val="single" w:sz="8" w:space="0" w:color="FFFFFF"/>
                  </w:tcBorders>
                  <w:shd w:val="clear" w:color="000000" w:fill="FDE9D9"/>
                  <w:noWrap/>
                  <w:vAlign w:val="center"/>
                  <w:hideMark/>
                </w:tcPr>
                <w:p w14:paraId="541507DB"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w:t>
                  </w:r>
                </w:p>
              </w:tc>
              <w:tc>
                <w:tcPr>
                  <w:tcW w:w="960" w:type="dxa"/>
                  <w:tcBorders>
                    <w:top w:val="nil"/>
                    <w:left w:val="nil"/>
                    <w:bottom w:val="single" w:sz="8" w:space="0" w:color="FFFFFF"/>
                    <w:right w:val="single" w:sz="8" w:space="0" w:color="FFFFFF"/>
                  </w:tcBorders>
                  <w:shd w:val="clear" w:color="000000" w:fill="FDE9D9"/>
                  <w:noWrap/>
                  <w:vAlign w:val="center"/>
                  <w:hideMark/>
                </w:tcPr>
                <w:p w14:paraId="45DB4FA6"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3%</w:t>
                  </w:r>
                </w:p>
              </w:tc>
              <w:tc>
                <w:tcPr>
                  <w:tcW w:w="960" w:type="dxa"/>
                  <w:tcBorders>
                    <w:top w:val="nil"/>
                    <w:left w:val="nil"/>
                    <w:bottom w:val="single" w:sz="8" w:space="0" w:color="FFFFFF"/>
                    <w:right w:val="single" w:sz="8" w:space="0" w:color="FFFFFF"/>
                  </w:tcBorders>
                  <w:shd w:val="clear" w:color="000000" w:fill="FDE9D9"/>
                  <w:noWrap/>
                  <w:vAlign w:val="center"/>
                  <w:hideMark/>
                </w:tcPr>
                <w:p w14:paraId="098B6D26"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38%</w:t>
                  </w:r>
                </w:p>
              </w:tc>
            </w:tr>
            <w:tr w:rsidR="009111E9" w:rsidRPr="009111E9" w14:paraId="7A1E5FF4" w14:textId="77777777" w:rsidTr="009111E9">
              <w:trPr>
                <w:trHeight w:val="385"/>
              </w:trPr>
              <w:tc>
                <w:tcPr>
                  <w:tcW w:w="1334" w:type="dxa"/>
                  <w:tcBorders>
                    <w:top w:val="nil"/>
                    <w:left w:val="nil"/>
                    <w:bottom w:val="single" w:sz="8" w:space="0" w:color="FFFFFF"/>
                    <w:right w:val="single" w:sz="8" w:space="0" w:color="FFFFFF"/>
                  </w:tcBorders>
                  <w:shd w:val="clear" w:color="000000" w:fill="FCD5B4"/>
                  <w:noWrap/>
                  <w:vAlign w:val="center"/>
                  <w:hideMark/>
                </w:tcPr>
                <w:p w14:paraId="6B7C8FEC"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3Y</w:t>
                  </w:r>
                </w:p>
              </w:tc>
              <w:tc>
                <w:tcPr>
                  <w:tcW w:w="810" w:type="dxa"/>
                  <w:tcBorders>
                    <w:top w:val="nil"/>
                    <w:left w:val="nil"/>
                    <w:bottom w:val="single" w:sz="8" w:space="0" w:color="FFFFFF"/>
                    <w:right w:val="single" w:sz="8" w:space="0" w:color="FFFFFF"/>
                  </w:tcBorders>
                  <w:shd w:val="clear" w:color="000000" w:fill="FCD5B4"/>
                  <w:noWrap/>
                  <w:vAlign w:val="center"/>
                  <w:hideMark/>
                </w:tcPr>
                <w:p w14:paraId="24AA455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24%</w:t>
                  </w:r>
                </w:p>
              </w:tc>
              <w:tc>
                <w:tcPr>
                  <w:tcW w:w="960" w:type="dxa"/>
                  <w:tcBorders>
                    <w:top w:val="nil"/>
                    <w:left w:val="nil"/>
                    <w:bottom w:val="single" w:sz="8" w:space="0" w:color="FFFFFF"/>
                    <w:right w:val="single" w:sz="8" w:space="0" w:color="FFFFFF"/>
                  </w:tcBorders>
                  <w:shd w:val="clear" w:color="000000" w:fill="FCD5B4"/>
                  <w:noWrap/>
                  <w:vAlign w:val="center"/>
                  <w:hideMark/>
                </w:tcPr>
                <w:p w14:paraId="33324CE8"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23%</w:t>
                  </w:r>
                </w:p>
              </w:tc>
              <w:tc>
                <w:tcPr>
                  <w:tcW w:w="960" w:type="dxa"/>
                  <w:tcBorders>
                    <w:top w:val="nil"/>
                    <w:left w:val="nil"/>
                    <w:bottom w:val="single" w:sz="8" w:space="0" w:color="FFFFFF"/>
                    <w:right w:val="single" w:sz="8" w:space="0" w:color="FFFFFF"/>
                  </w:tcBorders>
                  <w:shd w:val="clear" w:color="000000" w:fill="FCD5B4"/>
                  <w:noWrap/>
                  <w:vAlign w:val="center"/>
                  <w:hideMark/>
                </w:tcPr>
                <w:p w14:paraId="2BBD2C4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21%</w:t>
                  </w:r>
                </w:p>
              </w:tc>
              <w:tc>
                <w:tcPr>
                  <w:tcW w:w="884" w:type="dxa"/>
                  <w:tcBorders>
                    <w:top w:val="nil"/>
                    <w:left w:val="nil"/>
                    <w:bottom w:val="single" w:sz="8" w:space="0" w:color="FFFFFF"/>
                    <w:right w:val="single" w:sz="8" w:space="0" w:color="FFFFFF"/>
                  </w:tcBorders>
                  <w:shd w:val="clear" w:color="000000" w:fill="FCD5B4"/>
                  <w:noWrap/>
                  <w:vAlign w:val="center"/>
                  <w:hideMark/>
                </w:tcPr>
                <w:p w14:paraId="1357C0D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72%</w:t>
                  </w:r>
                </w:p>
              </w:tc>
              <w:tc>
                <w:tcPr>
                  <w:tcW w:w="1154" w:type="dxa"/>
                  <w:tcBorders>
                    <w:top w:val="nil"/>
                    <w:left w:val="nil"/>
                    <w:bottom w:val="single" w:sz="8" w:space="0" w:color="FFFFFF"/>
                    <w:right w:val="single" w:sz="8" w:space="0" w:color="FFFFFF"/>
                  </w:tcBorders>
                  <w:shd w:val="clear" w:color="000000" w:fill="FCD5B4"/>
                  <w:noWrap/>
                  <w:vAlign w:val="center"/>
                  <w:hideMark/>
                </w:tcPr>
                <w:p w14:paraId="288E8C71"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3Y</w:t>
                  </w:r>
                </w:p>
              </w:tc>
              <w:tc>
                <w:tcPr>
                  <w:tcW w:w="841" w:type="dxa"/>
                  <w:tcBorders>
                    <w:top w:val="nil"/>
                    <w:left w:val="nil"/>
                    <w:bottom w:val="single" w:sz="8" w:space="0" w:color="FFFFFF"/>
                    <w:right w:val="single" w:sz="8" w:space="0" w:color="FFFFFF"/>
                  </w:tcBorders>
                  <w:shd w:val="clear" w:color="000000" w:fill="FCD5B4"/>
                  <w:noWrap/>
                  <w:vAlign w:val="center"/>
                  <w:hideMark/>
                </w:tcPr>
                <w:p w14:paraId="7FAEA0B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w:t>
                  </w:r>
                </w:p>
              </w:tc>
              <w:tc>
                <w:tcPr>
                  <w:tcW w:w="960" w:type="dxa"/>
                  <w:tcBorders>
                    <w:top w:val="nil"/>
                    <w:left w:val="nil"/>
                    <w:bottom w:val="single" w:sz="8" w:space="0" w:color="FFFFFF"/>
                    <w:right w:val="single" w:sz="8" w:space="0" w:color="FFFFFF"/>
                  </w:tcBorders>
                  <w:shd w:val="clear" w:color="000000" w:fill="FCD5B4"/>
                  <w:noWrap/>
                  <w:vAlign w:val="center"/>
                  <w:hideMark/>
                </w:tcPr>
                <w:p w14:paraId="695797B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13%</w:t>
                  </w:r>
                </w:p>
              </w:tc>
              <w:tc>
                <w:tcPr>
                  <w:tcW w:w="960" w:type="dxa"/>
                  <w:tcBorders>
                    <w:top w:val="nil"/>
                    <w:left w:val="nil"/>
                    <w:bottom w:val="single" w:sz="8" w:space="0" w:color="FFFFFF"/>
                    <w:right w:val="single" w:sz="8" w:space="0" w:color="FFFFFF"/>
                  </w:tcBorders>
                  <w:shd w:val="clear" w:color="000000" w:fill="FCD5B4"/>
                  <w:noWrap/>
                  <w:vAlign w:val="center"/>
                  <w:hideMark/>
                </w:tcPr>
                <w:p w14:paraId="60652E2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14%</w:t>
                  </w:r>
                </w:p>
              </w:tc>
              <w:tc>
                <w:tcPr>
                  <w:tcW w:w="960" w:type="dxa"/>
                  <w:tcBorders>
                    <w:top w:val="nil"/>
                    <w:left w:val="nil"/>
                    <w:bottom w:val="single" w:sz="8" w:space="0" w:color="FFFFFF"/>
                    <w:right w:val="single" w:sz="8" w:space="0" w:color="FFFFFF"/>
                  </w:tcBorders>
                  <w:shd w:val="clear" w:color="000000" w:fill="FCD5B4"/>
                  <w:noWrap/>
                  <w:vAlign w:val="center"/>
                  <w:hideMark/>
                </w:tcPr>
                <w:p w14:paraId="24A8C87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79%</w:t>
                  </w:r>
                </w:p>
              </w:tc>
            </w:tr>
            <w:tr w:rsidR="009111E9" w:rsidRPr="009111E9" w14:paraId="510B4054" w14:textId="77777777" w:rsidTr="009111E9">
              <w:trPr>
                <w:trHeight w:val="385"/>
              </w:trPr>
              <w:tc>
                <w:tcPr>
                  <w:tcW w:w="1334" w:type="dxa"/>
                  <w:tcBorders>
                    <w:top w:val="nil"/>
                    <w:left w:val="nil"/>
                    <w:bottom w:val="single" w:sz="8" w:space="0" w:color="FFFFFF"/>
                    <w:right w:val="single" w:sz="8" w:space="0" w:color="FFFFFF"/>
                  </w:tcBorders>
                  <w:shd w:val="clear" w:color="000000" w:fill="FDE9D9"/>
                  <w:noWrap/>
                  <w:vAlign w:val="center"/>
                  <w:hideMark/>
                </w:tcPr>
                <w:p w14:paraId="7A5409B9"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5Y</w:t>
                  </w:r>
                </w:p>
              </w:tc>
              <w:tc>
                <w:tcPr>
                  <w:tcW w:w="810" w:type="dxa"/>
                  <w:tcBorders>
                    <w:top w:val="nil"/>
                    <w:left w:val="nil"/>
                    <w:bottom w:val="single" w:sz="8" w:space="0" w:color="FFFFFF"/>
                    <w:right w:val="single" w:sz="8" w:space="0" w:color="FFFFFF"/>
                  </w:tcBorders>
                  <w:shd w:val="clear" w:color="000000" w:fill="FDE9D9"/>
                  <w:noWrap/>
                  <w:vAlign w:val="center"/>
                  <w:hideMark/>
                </w:tcPr>
                <w:p w14:paraId="0506089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17%</w:t>
                  </w:r>
                </w:p>
              </w:tc>
              <w:tc>
                <w:tcPr>
                  <w:tcW w:w="960" w:type="dxa"/>
                  <w:tcBorders>
                    <w:top w:val="nil"/>
                    <w:left w:val="nil"/>
                    <w:bottom w:val="single" w:sz="8" w:space="0" w:color="FFFFFF"/>
                    <w:right w:val="single" w:sz="8" w:space="0" w:color="FFFFFF"/>
                  </w:tcBorders>
                  <w:shd w:val="clear" w:color="000000" w:fill="FDE9D9"/>
                  <w:noWrap/>
                  <w:vAlign w:val="center"/>
                  <w:hideMark/>
                </w:tcPr>
                <w:p w14:paraId="5384C24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20%</w:t>
                  </w:r>
                </w:p>
              </w:tc>
              <w:tc>
                <w:tcPr>
                  <w:tcW w:w="960" w:type="dxa"/>
                  <w:tcBorders>
                    <w:top w:val="nil"/>
                    <w:left w:val="nil"/>
                    <w:bottom w:val="single" w:sz="8" w:space="0" w:color="FFFFFF"/>
                    <w:right w:val="single" w:sz="8" w:space="0" w:color="FFFFFF"/>
                  </w:tcBorders>
                  <w:shd w:val="clear" w:color="000000" w:fill="FDE9D9"/>
                  <w:noWrap/>
                  <w:vAlign w:val="center"/>
                  <w:hideMark/>
                </w:tcPr>
                <w:p w14:paraId="271EF351"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24%</w:t>
                  </w:r>
                </w:p>
              </w:tc>
              <w:tc>
                <w:tcPr>
                  <w:tcW w:w="884" w:type="dxa"/>
                  <w:tcBorders>
                    <w:top w:val="nil"/>
                    <w:left w:val="nil"/>
                    <w:bottom w:val="single" w:sz="8" w:space="0" w:color="FFFFFF"/>
                    <w:right w:val="single" w:sz="8" w:space="0" w:color="FFFFFF"/>
                  </w:tcBorders>
                  <w:shd w:val="clear" w:color="000000" w:fill="FDE9D9"/>
                  <w:noWrap/>
                  <w:vAlign w:val="center"/>
                  <w:hideMark/>
                </w:tcPr>
                <w:p w14:paraId="6969411E"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80%</w:t>
                  </w:r>
                </w:p>
              </w:tc>
              <w:tc>
                <w:tcPr>
                  <w:tcW w:w="1154" w:type="dxa"/>
                  <w:tcBorders>
                    <w:top w:val="nil"/>
                    <w:left w:val="nil"/>
                    <w:bottom w:val="single" w:sz="8" w:space="0" w:color="FFFFFF"/>
                    <w:right w:val="single" w:sz="8" w:space="0" w:color="FFFFFF"/>
                  </w:tcBorders>
                  <w:shd w:val="clear" w:color="000000" w:fill="FDE9D9"/>
                  <w:noWrap/>
                  <w:vAlign w:val="center"/>
                  <w:hideMark/>
                </w:tcPr>
                <w:p w14:paraId="05F3FBCF"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5Y</w:t>
                  </w:r>
                </w:p>
              </w:tc>
              <w:tc>
                <w:tcPr>
                  <w:tcW w:w="841" w:type="dxa"/>
                  <w:tcBorders>
                    <w:top w:val="nil"/>
                    <w:left w:val="nil"/>
                    <w:bottom w:val="single" w:sz="8" w:space="0" w:color="FFFFFF"/>
                    <w:right w:val="single" w:sz="8" w:space="0" w:color="FFFFFF"/>
                  </w:tcBorders>
                  <w:shd w:val="clear" w:color="000000" w:fill="FDE9D9"/>
                  <w:noWrap/>
                  <w:vAlign w:val="center"/>
                  <w:hideMark/>
                </w:tcPr>
                <w:p w14:paraId="7C0FFAD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6%</w:t>
                  </w:r>
                </w:p>
              </w:tc>
              <w:tc>
                <w:tcPr>
                  <w:tcW w:w="960" w:type="dxa"/>
                  <w:tcBorders>
                    <w:top w:val="nil"/>
                    <w:left w:val="nil"/>
                    <w:bottom w:val="single" w:sz="8" w:space="0" w:color="FFFFFF"/>
                    <w:right w:val="single" w:sz="8" w:space="0" w:color="FFFFFF"/>
                  </w:tcBorders>
                  <w:shd w:val="clear" w:color="000000" w:fill="FDE9D9"/>
                  <w:noWrap/>
                  <w:vAlign w:val="center"/>
                  <w:hideMark/>
                </w:tcPr>
                <w:p w14:paraId="0C17886A"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13%</w:t>
                  </w:r>
                </w:p>
              </w:tc>
              <w:tc>
                <w:tcPr>
                  <w:tcW w:w="960" w:type="dxa"/>
                  <w:tcBorders>
                    <w:top w:val="nil"/>
                    <w:left w:val="nil"/>
                    <w:bottom w:val="single" w:sz="8" w:space="0" w:color="FFFFFF"/>
                    <w:right w:val="single" w:sz="8" w:space="0" w:color="FFFFFF"/>
                  </w:tcBorders>
                  <w:shd w:val="clear" w:color="000000" w:fill="FDE9D9"/>
                  <w:noWrap/>
                  <w:vAlign w:val="center"/>
                  <w:hideMark/>
                </w:tcPr>
                <w:p w14:paraId="7DD910DD"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21%</w:t>
                  </w:r>
                </w:p>
              </w:tc>
              <w:tc>
                <w:tcPr>
                  <w:tcW w:w="960" w:type="dxa"/>
                  <w:tcBorders>
                    <w:top w:val="nil"/>
                    <w:left w:val="nil"/>
                    <w:bottom w:val="single" w:sz="8" w:space="0" w:color="FFFFFF"/>
                    <w:right w:val="single" w:sz="8" w:space="0" w:color="FFFFFF"/>
                  </w:tcBorders>
                  <w:shd w:val="clear" w:color="000000" w:fill="FFC7CE"/>
                  <w:noWrap/>
                  <w:vAlign w:val="center"/>
                  <w:hideMark/>
                </w:tcPr>
                <w:p w14:paraId="0B68DDA2" w14:textId="77777777" w:rsidR="009111E9" w:rsidRPr="009111E9" w:rsidRDefault="009111E9" w:rsidP="009111E9">
                  <w:pPr>
                    <w:widowControl/>
                    <w:jc w:val="center"/>
                    <w:rPr>
                      <w:rFonts w:eastAsia="等线" w:cs="Calibri"/>
                      <w:color w:val="9C0006"/>
                      <w:kern w:val="0"/>
                      <w:szCs w:val="21"/>
                    </w:rPr>
                  </w:pPr>
                  <w:r w:rsidRPr="009111E9">
                    <w:rPr>
                      <w:rFonts w:eastAsia="等线" w:cs="Calibri"/>
                      <w:color w:val="9C0006"/>
                      <w:kern w:val="0"/>
                      <w:szCs w:val="21"/>
                    </w:rPr>
                    <w:t>88%</w:t>
                  </w:r>
                </w:p>
              </w:tc>
            </w:tr>
            <w:tr w:rsidR="009111E9" w:rsidRPr="009111E9" w14:paraId="279BFD60" w14:textId="77777777" w:rsidTr="009111E9">
              <w:trPr>
                <w:trHeight w:val="385"/>
              </w:trPr>
              <w:tc>
                <w:tcPr>
                  <w:tcW w:w="1334" w:type="dxa"/>
                  <w:tcBorders>
                    <w:top w:val="nil"/>
                    <w:left w:val="nil"/>
                    <w:bottom w:val="nil"/>
                    <w:right w:val="nil"/>
                  </w:tcBorders>
                  <w:shd w:val="clear" w:color="000000" w:fill="FCD5B4"/>
                  <w:noWrap/>
                  <w:vAlign w:val="center"/>
                  <w:hideMark/>
                </w:tcPr>
                <w:p w14:paraId="37AFC45D"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7Y</w:t>
                  </w:r>
                </w:p>
              </w:tc>
              <w:tc>
                <w:tcPr>
                  <w:tcW w:w="810" w:type="dxa"/>
                  <w:tcBorders>
                    <w:top w:val="nil"/>
                    <w:left w:val="nil"/>
                    <w:bottom w:val="single" w:sz="8" w:space="0" w:color="FFFFFF"/>
                    <w:right w:val="single" w:sz="8" w:space="0" w:color="FFFFFF"/>
                  </w:tcBorders>
                  <w:shd w:val="clear" w:color="000000" w:fill="FCD5B4"/>
                  <w:noWrap/>
                  <w:vAlign w:val="center"/>
                  <w:hideMark/>
                </w:tcPr>
                <w:p w14:paraId="6D0CE23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14%</w:t>
                  </w:r>
                </w:p>
              </w:tc>
              <w:tc>
                <w:tcPr>
                  <w:tcW w:w="960" w:type="dxa"/>
                  <w:tcBorders>
                    <w:top w:val="nil"/>
                    <w:left w:val="nil"/>
                    <w:bottom w:val="single" w:sz="8" w:space="0" w:color="FFFFFF"/>
                    <w:right w:val="single" w:sz="8" w:space="0" w:color="FFFFFF"/>
                  </w:tcBorders>
                  <w:shd w:val="clear" w:color="000000" w:fill="FCD5B4"/>
                  <w:noWrap/>
                  <w:vAlign w:val="center"/>
                  <w:hideMark/>
                </w:tcPr>
                <w:p w14:paraId="224EA42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18%</w:t>
                  </w:r>
                </w:p>
              </w:tc>
              <w:tc>
                <w:tcPr>
                  <w:tcW w:w="960" w:type="dxa"/>
                  <w:tcBorders>
                    <w:top w:val="nil"/>
                    <w:left w:val="nil"/>
                    <w:bottom w:val="single" w:sz="8" w:space="0" w:color="FFFFFF"/>
                    <w:right w:val="single" w:sz="8" w:space="0" w:color="FFFFFF"/>
                  </w:tcBorders>
                  <w:shd w:val="clear" w:color="000000" w:fill="FCD5B4"/>
                  <w:noWrap/>
                  <w:vAlign w:val="center"/>
                  <w:hideMark/>
                </w:tcPr>
                <w:p w14:paraId="3DFB6B84"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21%</w:t>
                  </w:r>
                </w:p>
              </w:tc>
              <w:tc>
                <w:tcPr>
                  <w:tcW w:w="884" w:type="dxa"/>
                  <w:tcBorders>
                    <w:top w:val="nil"/>
                    <w:left w:val="nil"/>
                    <w:bottom w:val="single" w:sz="8" w:space="0" w:color="FFFFFF"/>
                    <w:right w:val="single" w:sz="8" w:space="0" w:color="FFFFFF"/>
                  </w:tcBorders>
                  <w:shd w:val="clear" w:color="000000" w:fill="FCD5B4"/>
                  <w:noWrap/>
                  <w:vAlign w:val="center"/>
                  <w:hideMark/>
                </w:tcPr>
                <w:p w14:paraId="71588583"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74%</w:t>
                  </w:r>
                </w:p>
              </w:tc>
              <w:tc>
                <w:tcPr>
                  <w:tcW w:w="1154" w:type="dxa"/>
                  <w:tcBorders>
                    <w:top w:val="nil"/>
                    <w:left w:val="nil"/>
                    <w:bottom w:val="nil"/>
                    <w:right w:val="nil"/>
                  </w:tcBorders>
                  <w:shd w:val="clear" w:color="000000" w:fill="FCD5B4"/>
                  <w:noWrap/>
                  <w:vAlign w:val="center"/>
                  <w:hideMark/>
                </w:tcPr>
                <w:p w14:paraId="6C06D545" w14:textId="77777777" w:rsidR="009111E9" w:rsidRPr="009111E9" w:rsidRDefault="009111E9" w:rsidP="009111E9">
                  <w:pPr>
                    <w:widowControl/>
                    <w:jc w:val="center"/>
                    <w:rPr>
                      <w:rFonts w:ascii="楷体" w:eastAsia="楷体" w:hAnsi="楷体" w:cs="宋体"/>
                      <w:color w:val="000000"/>
                      <w:kern w:val="0"/>
                      <w:sz w:val="20"/>
                      <w:szCs w:val="20"/>
                    </w:rPr>
                  </w:pPr>
                  <w:proofErr w:type="gramStart"/>
                  <w:r w:rsidRPr="009111E9">
                    <w:rPr>
                      <w:rFonts w:ascii="楷体" w:eastAsia="楷体" w:hAnsi="楷体" w:cs="宋体" w:hint="eastAsia"/>
                      <w:color w:val="000000"/>
                      <w:kern w:val="0"/>
                      <w:sz w:val="20"/>
                      <w:szCs w:val="20"/>
                    </w:rPr>
                    <w:t>城投债</w:t>
                  </w:r>
                  <w:proofErr w:type="gramEnd"/>
                  <w:r w:rsidRPr="009111E9">
                    <w:rPr>
                      <w:rFonts w:ascii="楷体" w:eastAsia="楷体" w:hAnsi="楷体" w:cs="宋体" w:hint="eastAsia"/>
                      <w:color w:val="000000"/>
                      <w:kern w:val="0"/>
                      <w:sz w:val="20"/>
                      <w:szCs w:val="20"/>
                    </w:rPr>
                    <w:t>7Y</w:t>
                  </w:r>
                </w:p>
              </w:tc>
              <w:tc>
                <w:tcPr>
                  <w:tcW w:w="841" w:type="dxa"/>
                  <w:tcBorders>
                    <w:top w:val="nil"/>
                    <w:left w:val="nil"/>
                    <w:bottom w:val="single" w:sz="8" w:space="0" w:color="FFFFFF"/>
                    <w:right w:val="single" w:sz="8" w:space="0" w:color="FFFFFF"/>
                  </w:tcBorders>
                  <w:shd w:val="clear" w:color="000000" w:fill="FCD5B4"/>
                  <w:noWrap/>
                  <w:vAlign w:val="center"/>
                  <w:hideMark/>
                </w:tcPr>
                <w:p w14:paraId="5D309A72"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5%</w:t>
                  </w:r>
                </w:p>
              </w:tc>
              <w:tc>
                <w:tcPr>
                  <w:tcW w:w="960" w:type="dxa"/>
                  <w:tcBorders>
                    <w:top w:val="nil"/>
                    <w:left w:val="nil"/>
                    <w:bottom w:val="single" w:sz="8" w:space="0" w:color="FFFFFF"/>
                    <w:right w:val="single" w:sz="8" w:space="0" w:color="FFFFFF"/>
                  </w:tcBorders>
                  <w:shd w:val="clear" w:color="000000" w:fill="FCD5B4"/>
                  <w:noWrap/>
                  <w:vAlign w:val="center"/>
                  <w:hideMark/>
                </w:tcPr>
                <w:p w14:paraId="2CA1F449"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12%</w:t>
                  </w:r>
                </w:p>
              </w:tc>
              <w:tc>
                <w:tcPr>
                  <w:tcW w:w="960" w:type="dxa"/>
                  <w:tcBorders>
                    <w:top w:val="nil"/>
                    <w:left w:val="nil"/>
                    <w:bottom w:val="single" w:sz="8" w:space="0" w:color="FFFFFF"/>
                    <w:right w:val="single" w:sz="8" w:space="0" w:color="FFFFFF"/>
                  </w:tcBorders>
                  <w:shd w:val="clear" w:color="000000" w:fill="FCD5B4"/>
                  <w:noWrap/>
                  <w:vAlign w:val="center"/>
                  <w:hideMark/>
                </w:tcPr>
                <w:p w14:paraId="5C256B6F" w14:textId="77777777" w:rsidR="009111E9" w:rsidRPr="009111E9" w:rsidRDefault="009111E9" w:rsidP="009111E9">
                  <w:pPr>
                    <w:widowControl/>
                    <w:jc w:val="center"/>
                    <w:rPr>
                      <w:rFonts w:eastAsia="等线" w:cs="Calibri"/>
                      <w:color w:val="000000"/>
                      <w:kern w:val="0"/>
                      <w:szCs w:val="21"/>
                    </w:rPr>
                  </w:pPr>
                  <w:r w:rsidRPr="009111E9">
                    <w:rPr>
                      <w:rFonts w:eastAsia="等线" w:cs="Calibri"/>
                      <w:color w:val="000000"/>
                      <w:kern w:val="0"/>
                      <w:szCs w:val="21"/>
                    </w:rPr>
                    <w:t>20%</w:t>
                  </w:r>
                </w:p>
              </w:tc>
              <w:tc>
                <w:tcPr>
                  <w:tcW w:w="960" w:type="dxa"/>
                  <w:tcBorders>
                    <w:top w:val="nil"/>
                    <w:left w:val="nil"/>
                    <w:bottom w:val="single" w:sz="8" w:space="0" w:color="FFFFFF"/>
                    <w:right w:val="single" w:sz="8" w:space="0" w:color="FFFFFF"/>
                  </w:tcBorders>
                  <w:shd w:val="clear" w:color="000000" w:fill="FFC7CE"/>
                  <w:noWrap/>
                  <w:vAlign w:val="center"/>
                  <w:hideMark/>
                </w:tcPr>
                <w:p w14:paraId="22977624" w14:textId="77777777" w:rsidR="009111E9" w:rsidRPr="009111E9" w:rsidRDefault="009111E9" w:rsidP="009111E9">
                  <w:pPr>
                    <w:widowControl/>
                    <w:jc w:val="center"/>
                    <w:rPr>
                      <w:rFonts w:eastAsia="等线" w:cs="Calibri"/>
                      <w:color w:val="9C0006"/>
                      <w:kern w:val="0"/>
                      <w:szCs w:val="21"/>
                    </w:rPr>
                  </w:pPr>
                  <w:r w:rsidRPr="009111E9">
                    <w:rPr>
                      <w:rFonts w:eastAsia="等线" w:cs="Calibri"/>
                      <w:color w:val="9C0006"/>
                      <w:kern w:val="0"/>
                      <w:szCs w:val="21"/>
                    </w:rPr>
                    <w:t>83%</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0CC800D0"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4038B4">
        <w:rPr>
          <w:rFonts w:ascii="华文楷体" w:hAnsi="华文楷体" w:hint="eastAsia"/>
          <w:sz w:val="24"/>
          <w:szCs w:val="24"/>
          <w:lang w:eastAsia="zh-CN"/>
        </w:rPr>
        <w:t>各</w:t>
      </w:r>
      <w:r w:rsidR="00DE343B" w:rsidRPr="00DE343B">
        <w:rPr>
          <w:rFonts w:ascii="华文楷体" w:hAnsi="华文楷体" w:hint="eastAsia"/>
          <w:sz w:val="24"/>
          <w:szCs w:val="24"/>
          <w:lang w:eastAsia="zh-CN"/>
        </w:rPr>
        <w:t>主要板块</w:t>
      </w:r>
      <w:r w:rsidR="004038B4" w:rsidRPr="004038B4">
        <w:rPr>
          <w:rFonts w:ascii="华文楷体" w:hAnsi="华文楷体"/>
          <w:sz w:val="24"/>
          <w:szCs w:val="24"/>
          <w:lang w:eastAsia="zh-CN"/>
        </w:rPr>
        <w:t>下行明显</w:t>
      </w:r>
      <w:r w:rsidR="00DE343B" w:rsidRPr="00DE343B">
        <w:rPr>
          <w:rFonts w:ascii="华文楷体" w:hAnsi="华文楷体" w:hint="eastAsia"/>
          <w:sz w:val="24"/>
          <w:szCs w:val="24"/>
          <w:lang w:eastAsia="zh-CN"/>
        </w:rPr>
        <w:t>，成交量</w:t>
      </w:r>
      <w:r w:rsidR="004038B4">
        <w:rPr>
          <w:rFonts w:ascii="华文楷体" w:hAnsi="华文楷体" w:hint="eastAsia"/>
          <w:sz w:val="24"/>
          <w:szCs w:val="24"/>
          <w:lang w:eastAsia="zh-CN"/>
        </w:rPr>
        <w:t>适度</w:t>
      </w:r>
      <w:r w:rsidR="00DE343B" w:rsidRPr="00DE343B">
        <w:rPr>
          <w:rFonts w:ascii="华文楷体" w:hAnsi="华文楷体" w:hint="eastAsia"/>
          <w:sz w:val="24"/>
          <w:szCs w:val="24"/>
          <w:lang w:eastAsia="zh-CN"/>
        </w:rPr>
        <w:t>萎缩。</w:t>
      </w:r>
      <w:r>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FA1470">
        <w:rPr>
          <w:rFonts w:ascii="华文楷体" w:hAnsi="华文楷体" w:hint="eastAsia"/>
          <w:sz w:val="24"/>
          <w:szCs w:val="24"/>
          <w:lang w:eastAsia="zh-CN"/>
        </w:rPr>
        <w:t>，</w:t>
      </w:r>
      <w:r w:rsidR="004038B4" w:rsidRPr="004038B4">
        <w:rPr>
          <w:rFonts w:ascii="华文楷体" w:hAnsi="华文楷体" w:hint="eastAsia"/>
          <w:sz w:val="24"/>
          <w:szCs w:val="24"/>
          <w:lang w:eastAsia="zh-CN"/>
        </w:rPr>
        <w:t>A</w:t>
      </w:r>
      <w:r w:rsidR="00D973D2">
        <w:rPr>
          <w:rFonts w:ascii="华文楷体" w:hAnsi="华文楷体" w:hint="eastAsia"/>
          <w:sz w:val="24"/>
          <w:szCs w:val="24"/>
          <w:lang w:eastAsia="zh-CN"/>
        </w:rPr>
        <w:t>股市</w:t>
      </w:r>
      <w:proofErr w:type="gramStart"/>
      <w:r w:rsidR="00D973D2">
        <w:rPr>
          <w:rFonts w:ascii="华文楷体" w:hAnsi="华文楷体" w:hint="eastAsia"/>
          <w:sz w:val="24"/>
          <w:szCs w:val="24"/>
          <w:lang w:eastAsia="zh-CN"/>
        </w:rPr>
        <w:t>场</w:t>
      </w:r>
      <w:r w:rsidR="004038B4" w:rsidRPr="004038B4">
        <w:rPr>
          <w:rFonts w:ascii="华文楷体" w:hAnsi="华文楷体" w:hint="eastAsia"/>
          <w:sz w:val="24"/>
          <w:szCs w:val="24"/>
          <w:lang w:eastAsia="zh-CN"/>
        </w:rPr>
        <w:t>调整</w:t>
      </w:r>
      <w:proofErr w:type="gramEnd"/>
      <w:r w:rsidR="004038B4" w:rsidRPr="004038B4">
        <w:rPr>
          <w:rFonts w:ascii="华文楷体" w:hAnsi="华文楷体" w:hint="eastAsia"/>
          <w:sz w:val="24"/>
          <w:szCs w:val="24"/>
          <w:lang w:eastAsia="zh-CN"/>
        </w:rPr>
        <w:t>较多，部</w:t>
      </w:r>
      <w:r w:rsidR="004038B4" w:rsidRPr="004038B4">
        <w:rPr>
          <w:rFonts w:ascii="华文楷体" w:hAnsi="华文楷体" w:hint="eastAsia"/>
          <w:sz w:val="24"/>
          <w:szCs w:val="24"/>
          <w:lang w:eastAsia="zh-CN"/>
        </w:rPr>
        <w:lastRenderedPageBreak/>
        <w:t>分板块较前期跌幅小幅扩大，转债表现相对略好，但上涨幅度有所收敛，部分仍</w:t>
      </w:r>
      <w:proofErr w:type="gramStart"/>
      <w:r w:rsidR="004038B4" w:rsidRPr="004038B4">
        <w:rPr>
          <w:rFonts w:ascii="华文楷体" w:hAnsi="华文楷体" w:hint="eastAsia"/>
          <w:sz w:val="24"/>
          <w:szCs w:val="24"/>
          <w:lang w:eastAsia="zh-CN"/>
        </w:rPr>
        <w:t>略受到</w:t>
      </w:r>
      <w:proofErr w:type="gramEnd"/>
      <w:r w:rsidR="004038B4" w:rsidRPr="004038B4">
        <w:rPr>
          <w:rFonts w:ascii="华文楷体" w:hAnsi="华文楷体" w:hint="eastAsia"/>
          <w:sz w:val="24"/>
          <w:szCs w:val="24"/>
          <w:lang w:eastAsia="zh-CN"/>
        </w:rPr>
        <w:t>正股情绪影响，高平价和超高平价转债止跌反弹，较中、低平价</w:t>
      </w:r>
      <w:proofErr w:type="gramStart"/>
      <w:r w:rsidR="004038B4" w:rsidRPr="004038B4">
        <w:rPr>
          <w:rFonts w:ascii="华文楷体" w:hAnsi="华文楷体" w:hint="eastAsia"/>
          <w:sz w:val="24"/>
          <w:szCs w:val="24"/>
          <w:lang w:eastAsia="zh-CN"/>
        </w:rPr>
        <w:t>券</w:t>
      </w:r>
      <w:proofErr w:type="gramEnd"/>
      <w:r w:rsidR="004038B4" w:rsidRPr="004038B4">
        <w:rPr>
          <w:rFonts w:ascii="华文楷体" w:hAnsi="华文楷体" w:hint="eastAsia"/>
          <w:sz w:val="24"/>
          <w:szCs w:val="24"/>
          <w:lang w:eastAsia="zh-CN"/>
        </w:rPr>
        <w:t>表现相对较好。后续仍可关注前期超跌的中、高平价</w:t>
      </w:r>
      <w:proofErr w:type="gramStart"/>
      <w:r w:rsidR="004038B4" w:rsidRPr="004038B4">
        <w:rPr>
          <w:rFonts w:ascii="华文楷体" w:hAnsi="华文楷体" w:hint="eastAsia"/>
          <w:sz w:val="24"/>
          <w:szCs w:val="24"/>
          <w:lang w:eastAsia="zh-CN"/>
        </w:rPr>
        <w:t>券</w:t>
      </w:r>
      <w:proofErr w:type="gramEnd"/>
      <w:r w:rsidR="004038B4" w:rsidRPr="004038B4">
        <w:rPr>
          <w:rFonts w:ascii="华文楷体" w:hAnsi="华文楷体" w:hint="eastAsia"/>
          <w:sz w:val="24"/>
          <w:szCs w:val="24"/>
          <w:lang w:eastAsia="zh-CN"/>
        </w:rPr>
        <w:t>。</w:t>
      </w:r>
      <w:r w:rsidR="004038B4">
        <w:rPr>
          <w:rFonts w:ascii="华文楷体" w:hAnsi="华文楷体" w:hint="eastAsia"/>
          <w:sz w:val="24"/>
          <w:szCs w:val="24"/>
          <w:lang w:eastAsia="zh-CN"/>
        </w:rPr>
        <w:t>考虑到近期估值调整情况，同时择机配置</w:t>
      </w:r>
      <w:r w:rsidR="004038B4" w:rsidRPr="004038B4">
        <w:rPr>
          <w:rFonts w:ascii="华文楷体" w:hAnsi="华文楷体" w:hint="eastAsia"/>
          <w:sz w:val="24"/>
          <w:szCs w:val="24"/>
          <w:lang w:eastAsia="zh-CN"/>
        </w:rPr>
        <w:t>业绩好、成长性强的正股对应的转债。</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4038B4">
        <w:rPr>
          <w:rFonts w:ascii="华文楷体" w:hAnsi="华文楷体" w:hint="eastAsia"/>
          <w:sz w:val="24"/>
          <w:szCs w:val="24"/>
          <w:lang w:eastAsia="zh-CN"/>
        </w:rPr>
        <w:t>-</w:t>
      </w:r>
      <w:r w:rsidR="004038B4">
        <w:rPr>
          <w:rFonts w:ascii="华文楷体" w:hAnsi="华文楷体"/>
          <w:sz w:val="24"/>
          <w:szCs w:val="24"/>
          <w:lang w:eastAsia="zh-CN"/>
        </w:rPr>
        <w:t>1.4</w:t>
      </w:r>
      <w:r w:rsidR="00AC28BB">
        <w:rPr>
          <w:rFonts w:ascii="华文楷体" w:hAnsi="华文楷体"/>
          <w:sz w:val="24"/>
          <w:szCs w:val="24"/>
          <w:lang w:eastAsia="zh-CN"/>
        </w:rPr>
        <w:t>%、</w:t>
      </w:r>
      <w:r w:rsidR="004038B4">
        <w:rPr>
          <w:rFonts w:ascii="华文楷体" w:hAnsi="华文楷体" w:hint="eastAsia"/>
          <w:sz w:val="24"/>
          <w:szCs w:val="24"/>
          <w:lang w:eastAsia="zh-CN"/>
        </w:rPr>
        <w:t>-</w:t>
      </w:r>
      <w:r w:rsidR="004038B4">
        <w:rPr>
          <w:rFonts w:ascii="华文楷体" w:hAnsi="华文楷体"/>
          <w:sz w:val="24"/>
          <w:szCs w:val="24"/>
          <w:lang w:eastAsia="zh-CN"/>
        </w:rPr>
        <w:t>4.0</w:t>
      </w:r>
      <w:r w:rsidR="00AC28BB">
        <w:rPr>
          <w:rFonts w:ascii="华文楷体" w:hAnsi="华文楷体"/>
          <w:sz w:val="24"/>
          <w:szCs w:val="24"/>
          <w:lang w:eastAsia="zh-CN"/>
        </w:rPr>
        <w:t>%、</w:t>
      </w:r>
      <w:r w:rsidR="005C6F6B">
        <w:rPr>
          <w:rFonts w:ascii="华文楷体" w:hAnsi="华文楷体" w:hint="eastAsia"/>
          <w:sz w:val="24"/>
          <w:szCs w:val="24"/>
          <w:lang w:eastAsia="zh-CN"/>
        </w:rPr>
        <w:t>-</w:t>
      </w:r>
      <w:r w:rsidR="00DE343B">
        <w:rPr>
          <w:rFonts w:ascii="华文楷体" w:hAnsi="华文楷体" w:hint="eastAsia"/>
          <w:sz w:val="24"/>
          <w:szCs w:val="24"/>
          <w:lang w:eastAsia="zh-CN"/>
        </w:rPr>
        <w:t>1.</w:t>
      </w:r>
      <w:r w:rsidR="004038B4">
        <w:rPr>
          <w:rFonts w:ascii="华文楷体" w:hAnsi="华文楷体"/>
          <w:sz w:val="24"/>
          <w:szCs w:val="24"/>
          <w:lang w:eastAsia="zh-CN"/>
        </w:rPr>
        <w:t xml:space="preserve">5 </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4038B4">
        <w:rPr>
          <w:rFonts w:ascii="华文楷体" w:hAnsi="华文楷体" w:hint="eastAsia"/>
          <w:sz w:val="24"/>
          <w:szCs w:val="24"/>
          <w:lang w:eastAsia="zh-CN"/>
        </w:rPr>
        <w:t>-</w:t>
      </w:r>
      <w:r w:rsidR="004038B4">
        <w:rPr>
          <w:rFonts w:ascii="华文楷体" w:hAnsi="华文楷体"/>
          <w:sz w:val="24"/>
          <w:szCs w:val="24"/>
          <w:lang w:eastAsia="zh-CN"/>
        </w:rPr>
        <w:t>2.2</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C22D4">
        <w:rPr>
          <w:rFonts w:ascii="华文楷体" w:hAnsi="华文楷体" w:hint="eastAsia"/>
          <w:sz w:val="24"/>
          <w:szCs w:val="24"/>
          <w:lang w:eastAsia="zh-CN"/>
        </w:rPr>
        <w:t>表现</w:t>
      </w:r>
      <w:r w:rsidR="004038B4">
        <w:rPr>
          <w:rFonts w:ascii="华文楷体" w:hAnsi="华文楷体" w:hint="eastAsia"/>
          <w:sz w:val="24"/>
          <w:szCs w:val="24"/>
          <w:lang w:eastAsia="zh-CN"/>
        </w:rPr>
        <w:t>韧性较好</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DE343B" w:rsidRPr="00DE343B">
        <w:rPr>
          <w:rFonts w:ascii="华文楷体" w:hAnsi="华文楷体" w:hint="eastAsia"/>
          <w:sz w:val="24"/>
          <w:szCs w:val="24"/>
          <w:lang w:eastAsia="zh-CN"/>
        </w:rPr>
        <w:t>微</w:t>
      </w:r>
      <w:proofErr w:type="gramEnd"/>
      <w:r w:rsidR="00DE343B" w:rsidRPr="00DE343B">
        <w:rPr>
          <w:rFonts w:ascii="华文楷体" w:hAnsi="华文楷体" w:hint="eastAsia"/>
          <w:sz w:val="24"/>
          <w:szCs w:val="24"/>
          <w:lang w:eastAsia="zh-CN"/>
        </w:rPr>
        <w:t>涨0.</w:t>
      </w:r>
      <w:r w:rsidR="004038B4">
        <w:rPr>
          <w:rFonts w:ascii="华文楷体" w:hAnsi="华文楷体"/>
          <w:sz w:val="24"/>
          <w:szCs w:val="24"/>
          <w:lang w:eastAsia="zh-CN"/>
        </w:rPr>
        <w:t>3</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4038B4">
        <w:tblPrEx>
          <w:tblCellMar>
            <w:left w:w="108" w:type="dxa"/>
            <w:right w:w="108" w:type="dxa"/>
          </w:tblCellMar>
        </w:tblPrEx>
        <w:trPr>
          <w:trHeight w:val="2921"/>
          <w:jc w:val="center"/>
        </w:trPr>
        <w:tc>
          <w:tcPr>
            <w:tcW w:w="4939" w:type="dxa"/>
            <w:vAlign w:val="center"/>
          </w:tcPr>
          <w:p w14:paraId="5C83721A" w14:textId="10D15944" w:rsidR="00E0626C" w:rsidRPr="00345C30" w:rsidRDefault="00F95982" w:rsidP="00345C30">
            <w:pPr>
              <w:widowControl/>
              <w:jc w:val="left"/>
              <w:rPr>
                <w:rFonts w:ascii="宋体" w:hAnsi="宋体" w:cs="宋体"/>
                <w:kern w:val="0"/>
                <w:sz w:val="24"/>
                <w:szCs w:val="24"/>
              </w:rPr>
            </w:pPr>
            <w:r w:rsidRPr="00F95982">
              <w:rPr>
                <w:rFonts w:ascii="宋体" w:hAnsi="宋体" w:cs="宋体"/>
                <w:noProof/>
                <w:kern w:val="0"/>
                <w:sz w:val="24"/>
                <w:szCs w:val="24"/>
              </w:rPr>
              <w:drawing>
                <wp:inline distT="0" distB="0" distL="0" distR="0" wp14:anchorId="42B8F3DE" wp14:editId="01125AE5">
                  <wp:extent cx="3061504" cy="1903095"/>
                  <wp:effectExtent l="0" t="0" r="5715"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70640" cy="1908774"/>
                          </a:xfrm>
                          <a:prstGeom prst="rect">
                            <a:avLst/>
                          </a:prstGeom>
                          <a:noFill/>
                          <a:ln>
                            <a:noFill/>
                          </a:ln>
                        </pic:spPr>
                      </pic:pic>
                    </a:graphicData>
                  </a:graphic>
                </wp:inline>
              </w:drawing>
            </w:r>
          </w:p>
        </w:tc>
        <w:tc>
          <w:tcPr>
            <w:tcW w:w="4938" w:type="dxa"/>
            <w:vAlign w:val="center"/>
          </w:tcPr>
          <w:p w14:paraId="39BD4383" w14:textId="2F90FF30" w:rsidR="00E0626C" w:rsidRPr="007E0340" w:rsidRDefault="004038B4" w:rsidP="009A2BA0">
            <w:pPr>
              <w:jc w:val="center"/>
              <w:rPr>
                <w:noProof/>
                <w:szCs w:val="18"/>
              </w:rPr>
            </w:pPr>
            <w:r>
              <w:rPr>
                <w:noProof/>
              </w:rPr>
              <w:drawing>
                <wp:inline distT="0" distB="0" distL="0" distR="0" wp14:anchorId="689AA8BB" wp14:editId="593C66CE">
                  <wp:extent cx="2998470" cy="1948751"/>
                  <wp:effectExtent l="0" t="0" r="0" b="0"/>
                  <wp:docPr id="9" name="图表 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6714DEC2"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D973D2">
        <w:rPr>
          <w:rFonts w:ascii="华文楷体" w:hAnsi="华文楷体" w:hint="eastAsia"/>
          <w:b/>
          <w:bCs/>
          <w:sz w:val="24"/>
          <w:szCs w:val="24"/>
          <w:lang w:eastAsia="zh-CN"/>
        </w:rPr>
        <w:t>：</w:t>
      </w:r>
      <w:r w:rsidR="00762155" w:rsidRPr="00762155">
        <w:rPr>
          <w:rFonts w:ascii="华文楷体" w:hAnsi="华文楷体" w:hint="eastAsia"/>
          <w:sz w:val="24"/>
          <w:szCs w:val="24"/>
          <w:lang w:eastAsia="zh-CN"/>
        </w:rPr>
        <w:t>主要港口动力煤平均价进一步回升3.89%</w:t>
      </w:r>
      <w:r w:rsidR="00762155">
        <w:rPr>
          <w:rFonts w:ascii="华文楷体" w:hAnsi="华文楷体" w:hint="eastAsia"/>
          <w:sz w:val="24"/>
          <w:szCs w:val="24"/>
          <w:lang w:eastAsia="zh-CN"/>
        </w:rPr>
        <w:t>，</w:t>
      </w:r>
      <w:r w:rsidR="00762155" w:rsidRPr="00762155">
        <w:rPr>
          <w:rFonts w:ascii="华文楷体" w:hAnsi="华文楷体" w:hint="eastAsia"/>
          <w:sz w:val="24"/>
          <w:szCs w:val="24"/>
          <w:lang w:eastAsia="zh-CN"/>
        </w:rPr>
        <w:t>PTA产业链负荷率明显回落</w:t>
      </w:r>
      <w:r w:rsidR="00762155">
        <w:rPr>
          <w:rFonts w:ascii="华文楷体" w:hAnsi="华文楷体" w:hint="eastAsia"/>
          <w:sz w:val="24"/>
          <w:szCs w:val="24"/>
          <w:lang w:eastAsia="zh-CN"/>
        </w:rPr>
        <w:t>，</w:t>
      </w:r>
      <w:proofErr w:type="spellStart"/>
      <w:r w:rsidR="00762155" w:rsidRPr="00762155">
        <w:rPr>
          <w:rFonts w:ascii="华文楷体" w:hAnsi="华文楷体" w:hint="eastAsia"/>
          <w:sz w:val="24"/>
          <w:szCs w:val="24"/>
          <w:lang w:eastAsia="zh-CN"/>
        </w:rPr>
        <w:t>Myspic</w:t>
      </w:r>
      <w:proofErr w:type="spellEnd"/>
      <w:r w:rsidR="00762155" w:rsidRPr="00762155">
        <w:rPr>
          <w:rFonts w:ascii="华文楷体" w:hAnsi="华文楷体" w:hint="eastAsia"/>
          <w:sz w:val="24"/>
          <w:szCs w:val="24"/>
          <w:lang w:eastAsia="zh-CN"/>
        </w:rPr>
        <w:t>综合全国钢铁价格指数上0.74%，钢材价格上涨幅度有所趋缓，</w:t>
      </w:r>
      <w:r w:rsidR="00762155">
        <w:rPr>
          <w:rFonts w:ascii="华文楷体" w:hAnsi="华文楷体" w:hint="eastAsia"/>
          <w:sz w:val="24"/>
          <w:szCs w:val="24"/>
          <w:lang w:eastAsia="zh-CN"/>
        </w:rPr>
        <w:t>其中</w:t>
      </w:r>
      <w:r w:rsidR="00762155" w:rsidRPr="00762155">
        <w:rPr>
          <w:rFonts w:ascii="华文楷体" w:hAnsi="华文楷体" w:hint="eastAsia"/>
          <w:sz w:val="24"/>
          <w:szCs w:val="24"/>
          <w:lang w:eastAsia="zh-CN"/>
        </w:rPr>
        <w:t>螺纹钢、热卷、高线价格本周分别上涨0.07%、0.54%、0.28%</w:t>
      </w:r>
      <w:r w:rsidR="00762155">
        <w:rPr>
          <w:rFonts w:ascii="华文楷体" w:hAnsi="华文楷体" w:hint="eastAsia"/>
          <w:sz w:val="24"/>
          <w:szCs w:val="24"/>
          <w:lang w:eastAsia="zh-CN"/>
        </w:rPr>
        <w:t>。</w:t>
      </w:r>
    </w:p>
    <w:p w14:paraId="21425444" w14:textId="474D1ADA"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D973D2">
        <w:rPr>
          <w:rFonts w:ascii="华文楷体" w:hAnsi="华文楷体" w:hint="eastAsia"/>
          <w:b/>
          <w:bCs/>
          <w:sz w:val="24"/>
          <w:szCs w:val="24"/>
          <w:lang w:eastAsia="zh-CN"/>
        </w:rPr>
        <w:t>：</w:t>
      </w:r>
      <w:r w:rsidR="00D973D2">
        <w:rPr>
          <w:rFonts w:ascii="华文楷体" w:hAnsi="华文楷体" w:hint="eastAsia"/>
          <w:sz w:val="24"/>
          <w:szCs w:val="24"/>
          <w:lang w:eastAsia="zh-CN"/>
        </w:rPr>
        <w:t>30</w:t>
      </w:r>
      <w:r w:rsidR="00762155" w:rsidRPr="00762155">
        <w:rPr>
          <w:rFonts w:ascii="华文楷体" w:hAnsi="华文楷体" w:hint="eastAsia"/>
          <w:sz w:val="24"/>
          <w:szCs w:val="24"/>
          <w:lang w:eastAsia="zh-CN"/>
        </w:rPr>
        <w:t>大中城市商品房成交</w:t>
      </w:r>
      <w:proofErr w:type="gramStart"/>
      <w:r w:rsidR="00762155" w:rsidRPr="00762155">
        <w:rPr>
          <w:rFonts w:ascii="华文楷体" w:hAnsi="华文楷体" w:hint="eastAsia"/>
          <w:sz w:val="24"/>
          <w:szCs w:val="24"/>
          <w:lang w:eastAsia="zh-CN"/>
        </w:rPr>
        <w:t>面积环</w:t>
      </w:r>
      <w:proofErr w:type="gramEnd"/>
      <w:r w:rsidR="00762155" w:rsidRPr="00762155">
        <w:rPr>
          <w:rFonts w:ascii="华文楷体" w:hAnsi="华文楷体" w:hint="eastAsia"/>
          <w:sz w:val="24"/>
          <w:szCs w:val="24"/>
          <w:lang w:eastAsia="zh-CN"/>
        </w:rPr>
        <w:t>比小幅回落</w:t>
      </w:r>
      <w:r w:rsidR="00762155">
        <w:rPr>
          <w:rFonts w:ascii="华文楷体" w:hAnsi="华文楷体" w:hint="eastAsia"/>
          <w:sz w:val="24"/>
          <w:szCs w:val="24"/>
          <w:lang w:eastAsia="zh-CN"/>
        </w:rPr>
        <w:t>，</w:t>
      </w:r>
      <w:r w:rsidR="00762155" w:rsidRPr="00762155">
        <w:rPr>
          <w:rFonts w:ascii="华文楷体" w:hAnsi="华文楷体" w:hint="eastAsia"/>
          <w:sz w:val="24"/>
          <w:szCs w:val="24"/>
          <w:lang w:eastAsia="zh-CN"/>
        </w:rPr>
        <w:t>二线城市的土地成交</w:t>
      </w:r>
      <w:proofErr w:type="gramStart"/>
      <w:r w:rsidR="00762155" w:rsidRPr="00762155">
        <w:rPr>
          <w:rFonts w:ascii="华文楷体" w:hAnsi="华文楷体" w:hint="eastAsia"/>
          <w:sz w:val="24"/>
          <w:szCs w:val="24"/>
          <w:lang w:eastAsia="zh-CN"/>
        </w:rPr>
        <w:t>面积环</w:t>
      </w:r>
      <w:proofErr w:type="gramEnd"/>
      <w:r w:rsidR="00762155" w:rsidRPr="00762155">
        <w:rPr>
          <w:rFonts w:ascii="华文楷体" w:hAnsi="华文楷体" w:hint="eastAsia"/>
          <w:sz w:val="24"/>
          <w:szCs w:val="24"/>
          <w:lang w:eastAsia="zh-CN"/>
        </w:rPr>
        <w:t>比由降转升，增幅达249.97%，三线城市的土地成交延续上周以来的较强表现，环比进一步增长13.69%，而一线城市主要受调控收紧的影响，土地成交环比降幅扩大至14.47%。</w:t>
      </w:r>
    </w:p>
    <w:p w14:paraId="77CCCEDF" w14:textId="4DAC62D6"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016BE5" w:rsidRPr="00016BE5">
        <w:rPr>
          <w:rFonts w:ascii="华文楷体" w:hAnsi="华文楷体" w:hint="eastAsia"/>
          <w:bCs/>
          <w:sz w:val="24"/>
          <w:szCs w:val="24"/>
          <w:lang w:eastAsia="zh-CN"/>
        </w:rPr>
        <w:t>波罗的海干散货指数较上周明显上行11.14%，中国进口干散货运价指数增幅扩大至9.93%。上海出口集装箱指数（SCFI）及中国出口集装箱运价指数（CCFI）延续下行，环比分别下降2.97%和3.10%</w:t>
      </w:r>
      <w:r w:rsidR="00A4343E" w:rsidRPr="00A4343E">
        <w:rPr>
          <w:rFonts w:ascii="华文楷体" w:hAnsi="华文楷体" w:hint="eastAsia"/>
          <w:bCs/>
          <w:sz w:val="24"/>
          <w:szCs w:val="24"/>
          <w:lang w:eastAsia="zh-CN"/>
        </w:rPr>
        <w:t>。</w:t>
      </w:r>
    </w:p>
    <w:p w14:paraId="0542DAC4" w14:textId="3075E08B"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A4343E" w:rsidRPr="00A4343E">
        <w:rPr>
          <w:rFonts w:ascii="华文楷体" w:hAnsi="华文楷体" w:hint="eastAsia"/>
          <w:bCs/>
          <w:sz w:val="24"/>
          <w:szCs w:val="24"/>
          <w:lang w:eastAsia="zh-CN"/>
        </w:rPr>
        <w:t>猪价来看，</w:t>
      </w:r>
      <w:r w:rsidR="00016BE5" w:rsidRPr="00016BE5">
        <w:rPr>
          <w:rFonts w:ascii="华文楷体" w:hAnsi="华文楷体" w:hint="eastAsia"/>
          <w:bCs/>
          <w:sz w:val="24"/>
          <w:szCs w:val="24"/>
          <w:lang w:eastAsia="zh-CN"/>
        </w:rPr>
        <w:t>农业部公布的全国平均批发价回落至38元/公斤左右，</w:t>
      </w:r>
      <w:proofErr w:type="gramStart"/>
      <w:r w:rsidR="00016BE5" w:rsidRPr="00016BE5">
        <w:rPr>
          <w:rFonts w:ascii="华文楷体" w:hAnsi="华文楷体" w:hint="eastAsia"/>
          <w:bCs/>
          <w:sz w:val="24"/>
          <w:szCs w:val="24"/>
          <w:lang w:eastAsia="zh-CN"/>
        </w:rPr>
        <w:t>环比较</w:t>
      </w:r>
      <w:proofErr w:type="gramEnd"/>
      <w:r w:rsidR="00016BE5" w:rsidRPr="00016BE5">
        <w:rPr>
          <w:rFonts w:ascii="华文楷体" w:hAnsi="华文楷体" w:hint="eastAsia"/>
          <w:bCs/>
          <w:sz w:val="24"/>
          <w:szCs w:val="24"/>
          <w:lang w:eastAsia="zh-CN"/>
        </w:rPr>
        <w:t>上周末下降1.48%，猪肉价格持续下跌</w:t>
      </w:r>
      <w:r w:rsidR="00016BE5">
        <w:rPr>
          <w:rFonts w:ascii="华文楷体" w:hAnsi="华文楷体" w:hint="eastAsia"/>
          <w:bCs/>
          <w:sz w:val="24"/>
          <w:szCs w:val="24"/>
          <w:lang w:eastAsia="zh-CN"/>
        </w:rPr>
        <w:t>。</w:t>
      </w:r>
      <w:r w:rsidR="00016BE5" w:rsidRPr="00016BE5">
        <w:rPr>
          <w:rFonts w:ascii="华文楷体" w:hAnsi="华文楷体" w:hint="eastAsia"/>
          <w:bCs/>
          <w:sz w:val="24"/>
          <w:szCs w:val="24"/>
          <w:lang w:eastAsia="zh-CN"/>
        </w:rPr>
        <w:t>农产品和菜篮子批发价格200</w:t>
      </w:r>
      <w:proofErr w:type="gramStart"/>
      <w:r w:rsidR="00016BE5" w:rsidRPr="00016BE5">
        <w:rPr>
          <w:rFonts w:ascii="华文楷体" w:hAnsi="华文楷体" w:hint="eastAsia"/>
          <w:bCs/>
          <w:sz w:val="24"/>
          <w:szCs w:val="24"/>
          <w:lang w:eastAsia="zh-CN"/>
        </w:rPr>
        <w:t>指数环</w:t>
      </w:r>
      <w:proofErr w:type="gramEnd"/>
      <w:r w:rsidR="00016BE5" w:rsidRPr="00016BE5">
        <w:rPr>
          <w:rFonts w:ascii="华文楷体" w:hAnsi="华文楷体" w:hint="eastAsia"/>
          <w:bCs/>
          <w:sz w:val="24"/>
          <w:szCs w:val="24"/>
          <w:lang w:eastAsia="zh-CN"/>
        </w:rPr>
        <w:t>比继续下行，分别下行0.9%和1.07%，月度环比降幅小幅收窄</w:t>
      </w:r>
      <w:r w:rsidR="00016BE5">
        <w:rPr>
          <w:rFonts w:ascii="华文楷体" w:hAnsi="华文楷体" w:hint="eastAsia"/>
          <w:bCs/>
          <w:sz w:val="24"/>
          <w:szCs w:val="24"/>
          <w:lang w:eastAsia="zh-CN"/>
        </w:rPr>
        <w:t>。</w:t>
      </w:r>
      <w:r w:rsidR="0063487B" w:rsidRPr="0063487B">
        <w:rPr>
          <w:rFonts w:ascii="华文楷体" w:hAnsi="华文楷体" w:hint="eastAsia"/>
          <w:bCs/>
          <w:sz w:val="24"/>
          <w:szCs w:val="24"/>
          <w:lang w:eastAsia="zh-CN"/>
        </w:rPr>
        <w:t>工业品价格方面，</w:t>
      </w:r>
      <w:r w:rsidR="00016BE5" w:rsidRPr="00016BE5">
        <w:rPr>
          <w:rFonts w:ascii="华文楷体" w:hAnsi="华文楷体" w:hint="eastAsia"/>
          <w:bCs/>
          <w:sz w:val="24"/>
          <w:szCs w:val="24"/>
          <w:lang w:eastAsia="zh-CN"/>
        </w:rPr>
        <w:t>长江有色市场现货价格铜、铝、铅、锌价分别变化-0.67%、0.55%、-2.42%、0.9%。海外价格来看，LME铜、铝、铅、</w:t>
      </w:r>
      <w:proofErr w:type="gramStart"/>
      <w:r w:rsidR="00016BE5" w:rsidRPr="00016BE5">
        <w:rPr>
          <w:rFonts w:ascii="华文楷体" w:hAnsi="华文楷体" w:hint="eastAsia"/>
          <w:bCs/>
          <w:sz w:val="24"/>
          <w:szCs w:val="24"/>
          <w:lang w:eastAsia="zh-CN"/>
        </w:rPr>
        <w:t>锌较上</w:t>
      </w:r>
      <w:proofErr w:type="gramEnd"/>
      <w:r w:rsidR="00016BE5" w:rsidRPr="00016BE5">
        <w:rPr>
          <w:rFonts w:ascii="华文楷体" w:hAnsi="华文楷体" w:hint="eastAsia"/>
          <w:bCs/>
          <w:sz w:val="24"/>
          <w:szCs w:val="24"/>
          <w:lang w:eastAsia="zh-CN"/>
        </w:rPr>
        <w:t>周环比变化分别为-1.16%、-0.61%、-4.29%、-0.6%</w:t>
      </w:r>
      <w:r w:rsidR="00617BC1" w:rsidRPr="00617BC1">
        <w:rPr>
          <w:rFonts w:ascii="华文楷体" w:hAnsi="华文楷体" w:hint="eastAsia"/>
          <w:bCs/>
          <w:sz w:val="24"/>
          <w:szCs w:val="24"/>
          <w:lang w:eastAsia="zh-CN"/>
        </w:rPr>
        <w:t>。</w:t>
      </w:r>
    </w:p>
    <w:p w14:paraId="29155A05" w14:textId="0B1C39EB"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bookmarkStart w:id="2" w:name="_Hlk21205334"/>
      <w:r w:rsidR="00D973D2">
        <w:rPr>
          <w:rFonts w:ascii="华文楷体" w:hAnsi="华文楷体" w:hint="eastAsia"/>
          <w:b/>
          <w:bCs/>
          <w:sz w:val="24"/>
          <w:szCs w:val="24"/>
          <w:lang w:eastAsia="zh-CN"/>
        </w:rPr>
        <w:t>：</w:t>
      </w:r>
      <w:r w:rsidR="00A4343E" w:rsidRPr="00A4343E">
        <w:rPr>
          <w:rFonts w:ascii="华文楷体" w:hAnsi="华文楷体" w:hint="eastAsia"/>
          <w:bCs/>
          <w:sz w:val="24"/>
          <w:szCs w:val="24"/>
          <w:lang w:eastAsia="zh-CN"/>
        </w:rPr>
        <w:t>乘联会最新数据显示，</w:t>
      </w:r>
      <w:r w:rsidR="00016BE5" w:rsidRPr="00016BE5">
        <w:rPr>
          <w:rFonts w:ascii="华文楷体" w:hAnsi="华文楷体" w:hint="eastAsia"/>
          <w:bCs/>
          <w:sz w:val="24"/>
          <w:szCs w:val="24"/>
          <w:lang w:eastAsia="zh-CN"/>
        </w:rPr>
        <w:t>乘联会最新数据显示，3月第一周的日均零售在3.5万辆左右，较2019年同期水平增约2%</w:t>
      </w:r>
      <w:r w:rsidR="00A4343E" w:rsidRPr="00A4343E">
        <w:rPr>
          <w:rFonts w:ascii="华文楷体" w:hAnsi="华文楷体" w:hint="eastAsia"/>
          <w:bCs/>
          <w:sz w:val="24"/>
          <w:szCs w:val="24"/>
          <w:lang w:eastAsia="zh-CN"/>
        </w:rPr>
        <w:t>。</w:t>
      </w:r>
      <w:r w:rsidR="00016BE5" w:rsidRPr="00016BE5">
        <w:rPr>
          <w:rFonts w:ascii="华文楷体" w:hAnsi="华文楷体" w:hint="eastAsia"/>
          <w:bCs/>
          <w:sz w:val="24"/>
          <w:szCs w:val="24"/>
          <w:lang w:eastAsia="zh-CN"/>
        </w:rPr>
        <w:t>3月首周主要厂商批发销量达到日均4.03万辆，同比2019年增长3%，环比1月第四周下降10%</w:t>
      </w:r>
      <w:r w:rsidR="00016BE5">
        <w:rPr>
          <w:rFonts w:ascii="华文楷体" w:hAnsi="华文楷体" w:hint="eastAsia"/>
          <w:bCs/>
          <w:sz w:val="24"/>
          <w:szCs w:val="24"/>
          <w:lang w:eastAsia="zh-CN"/>
        </w:rPr>
        <w:t>。</w:t>
      </w:r>
    </w:p>
    <w:p w14:paraId="6C0621FD" w14:textId="1B57F5AC"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016BE5" w:rsidRPr="00016BE5">
        <w:rPr>
          <w:rFonts w:ascii="华文楷体" w:hAnsi="华文楷体" w:hint="eastAsia"/>
          <w:bCs/>
          <w:sz w:val="24"/>
          <w:szCs w:val="24"/>
          <w:lang w:eastAsia="zh-CN"/>
        </w:rPr>
        <w:t>WTI原油价格跌0.73%，至66.02美元/桶；布伦</w:t>
      </w:r>
      <w:proofErr w:type="gramStart"/>
      <w:r w:rsidR="00016BE5" w:rsidRPr="00016BE5">
        <w:rPr>
          <w:rFonts w:ascii="华文楷体" w:hAnsi="华文楷体" w:hint="eastAsia"/>
          <w:bCs/>
          <w:sz w:val="24"/>
          <w:szCs w:val="24"/>
          <w:lang w:eastAsia="zh-CN"/>
        </w:rPr>
        <w:t>特</w:t>
      </w:r>
      <w:proofErr w:type="gramEnd"/>
      <w:r w:rsidR="00016BE5" w:rsidRPr="00016BE5">
        <w:rPr>
          <w:rFonts w:ascii="华文楷体" w:hAnsi="华文楷体" w:hint="eastAsia"/>
          <w:bCs/>
          <w:sz w:val="24"/>
          <w:szCs w:val="24"/>
          <w:lang w:eastAsia="zh-CN"/>
        </w:rPr>
        <w:t>原油价格下跌0.73%，至69.22美</w:t>
      </w:r>
      <w:r w:rsidR="00016BE5" w:rsidRPr="00016BE5">
        <w:rPr>
          <w:rFonts w:ascii="华文楷体" w:hAnsi="华文楷体" w:hint="eastAsia"/>
          <w:bCs/>
          <w:sz w:val="24"/>
          <w:szCs w:val="24"/>
          <w:lang w:eastAsia="zh-CN"/>
        </w:rPr>
        <w:lastRenderedPageBreak/>
        <w:t>元/桶。</w:t>
      </w:r>
    </w:p>
    <w:p w14:paraId="35D3E229" w14:textId="176AE2D7" w:rsidR="00DA6262" w:rsidRDefault="00D973D2"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r w:rsidR="00016BE5" w:rsidRPr="00016BE5">
        <w:rPr>
          <w:rFonts w:ascii="华文楷体" w:hAnsi="华文楷体" w:hint="eastAsia"/>
          <w:bCs/>
          <w:sz w:val="24"/>
          <w:szCs w:val="24"/>
          <w:lang w:eastAsia="zh-CN"/>
        </w:rPr>
        <w:t>2月国内工业增加值数据，固定投资数据，</w:t>
      </w:r>
      <w:proofErr w:type="gramStart"/>
      <w:r w:rsidR="00016BE5" w:rsidRPr="00016BE5">
        <w:rPr>
          <w:rFonts w:ascii="华文楷体" w:hAnsi="华文楷体" w:hint="eastAsia"/>
          <w:bCs/>
          <w:sz w:val="24"/>
          <w:szCs w:val="24"/>
          <w:lang w:eastAsia="zh-CN"/>
        </w:rPr>
        <w:t>社零消费</w:t>
      </w:r>
      <w:proofErr w:type="gramEnd"/>
      <w:r w:rsidR="00016BE5" w:rsidRPr="00016BE5">
        <w:rPr>
          <w:rFonts w:ascii="华文楷体" w:hAnsi="华文楷体" w:hint="eastAsia"/>
          <w:bCs/>
          <w:sz w:val="24"/>
          <w:szCs w:val="24"/>
          <w:lang w:eastAsia="zh-CN"/>
        </w:rPr>
        <w:t>数据，美联储公布利率决议。</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12BF4CE7"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D973D2">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29AF4135"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D973D2">
        <w:rPr>
          <w:rFonts w:ascii="华文楷体" w:hAnsi="华文楷体" w:hint="eastAsia"/>
          <w:sz w:val="24"/>
          <w:szCs w:val="24"/>
          <w:lang w:eastAsia="zh-CN"/>
        </w:rPr>
        <w:t>本</w:t>
      </w:r>
      <w:r w:rsidR="00AE1C6A" w:rsidRPr="00AE1C6A">
        <w:rPr>
          <w:rFonts w:ascii="华文楷体" w:hAnsi="华文楷体" w:hint="eastAsia"/>
          <w:sz w:val="24"/>
          <w:szCs w:val="24"/>
          <w:lang w:eastAsia="zh-CN"/>
        </w:rPr>
        <w:t>周缴税结束，银行端可能面临</w:t>
      </w:r>
      <w:proofErr w:type="gramStart"/>
      <w:r w:rsidR="00AE1C6A" w:rsidRPr="00AE1C6A">
        <w:rPr>
          <w:rFonts w:ascii="华文楷体" w:hAnsi="华文楷体" w:hint="eastAsia"/>
          <w:sz w:val="24"/>
          <w:szCs w:val="24"/>
          <w:lang w:eastAsia="zh-CN"/>
        </w:rPr>
        <w:t>一定走款压力</w:t>
      </w:r>
      <w:proofErr w:type="gramEnd"/>
      <w:r w:rsidR="00AE1C6A" w:rsidRPr="00AE1C6A">
        <w:rPr>
          <w:rFonts w:ascii="华文楷体" w:hAnsi="华文楷体" w:hint="eastAsia"/>
          <w:sz w:val="24"/>
          <w:szCs w:val="24"/>
          <w:lang w:eastAsia="zh-CN"/>
        </w:rPr>
        <w:t>，关注央行15号MLF操作情况。从基本面看，目前新冠疫苗接种范围在扩大，美国新财政刺激计划落地，但后续全球经济复苏的不确定因素仍然存在；国内经济仍处于复苏进程中，但后续</w:t>
      </w:r>
      <w:proofErr w:type="gramStart"/>
      <w:r w:rsidR="00AE1C6A" w:rsidRPr="00AE1C6A">
        <w:rPr>
          <w:rFonts w:ascii="华文楷体" w:hAnsi="华文楷体" w:hint="eastAsia"/>
          <w:sz w:val="24"/>
          <w:szCs w:val="24"/>
          <w:lang w:eastAsia="zh-CN"/>
        </w:rPr>
        <w:t>演变仍</w:t>
      </w:r>
      <w:proofErr w:type="gramEnd"/>
      <w:r w:rsidR="00AE1C6A" w:rsidRPr="00AE1C6A">
        <w:rPr>
          <w:rFonts w:ascii="华文楷体" w:hAnsi="华文楷体" w:hint="eastAsia"/>
          <w:sz w:val="24"/>
          <w:szCs w:val="24"/>
          <w:lang w:eastAsia="zh-CN"/>
        </w:rPr>
        <w:t>有部分不确定性，关注地产、基建以及消费、服务业修复情况，通胀目前</w:t>
      </w:r>
      <w:proofErr w:type="gramStart"/>
      <w:r w:rsidR="00AE1C6A" w:rsidRPr="00AE1C6A">
        <w:rPr>
          <w:rFonts w:ascii="华文楷体" w:hAnsi="华文楷体" w:hint="eastAsia"/>
          <w:sz w:val="24"/>
          <w:szCs w:val="24"/>
          <w:lang w:eastAsia="zh-CN"/>
        </w:rPr>
        <w:t>看压力</w:t>
      </w:r>
      <w:proofErr w:type="gramEnd"/>
      <w:r w:rsidR="00AE1C6A" w:rsidRPr="00AE1C6A">
        <w:rPr>
          <w:rFonts w:ascii="华文楷体" w:hAnsi="华文楷体" w:hint="eastAsia"/>
          <w:sz w:val="24"/>
          <w:szCs w:val="24"/>
          <w:lang w:eastAsia="zh-CN"/>
        </w:rPr>
        <w:t>不大，但一季度以来大宗商品的波动可能会对1-2季度的PPI持续产生一定压力，此外央行持续关注宏观杠杆率情况，房地产、资本市场过热以及信用市场风险问题都仍在监管持续关注当中。</w:t>
      </w:r>
    </w:p>
    <w:p w14:paraId="2C3F4BD1" w14:textId="23B639A3"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AE1C6A">
        <w:rPr>
          <w:rFonts w:ascii="华文楷体" w:hAnsi="华文楷体" w:hint="eastAsia"/>
          <w:sz w:val="24"/>
          <w:szCs w:val="24"/>
          <w:lang w:eastAsia="zh-CN"/>
        </w:rPr>
        <w:t>信用</w:t>
      </w:r>
      <w:proofErr w:type="gramStart"/>
      <w:r w:rsidR="00AE1C6A">
        <w:rPr>
          <w:rFonts w:ascii="华文楷体" w:hAnsi="华文楷体" w:hint="eastAsia"/>
          <w:sz w:val="24"/>
          <w:szCs w:val="24"/>
          <w:lang w:eastAsia="zh-CN"/>
        </w:rPr>
        <w:t>债</w:t>
      </w:r>
      <w:r w:rsidR="00D973D2">
        <w:rPr>
          <w:rFonts w:ascii="华文楷体" w:hAnsi="华文楷体" w:hint="eastAsia"/>
          <w:sz w:val="24"/>
          <w:szCs w:val="24"/>
          <w:lang w:eastAsia="zh-CN"/>
        </w:rPr>
        <w:t>尽管</w:t>
      </w:r>
      <w:proofErr w:type="gramEnd"/>
      <w:r w:rsidR="00AE1C6A">
        <w:rPr>
          <w:rFonts w:ascii="华文楷体" w:hAnsi="华文楷体" w:hint="eastAsia"/>
          <w:sz w:val="24"/>
          <w:szCs w:val="24"/>
          <w:lang w:eastAsia="zh-CN"/>
        </w:rPr>
        <w:t>近期伴随资金</w:t>
      </w:r>
      <w:proofErr w:type="gramStart"/>
      <w:r w:rsidR="00AE1C6A">
        <w:rPr>
          <w:rFonts w:ascii="华文楷体" w:hAnsi="华文楷体" w:hint="eastAsia"/>
          <w:sz w:val="24"/>
          <w:szCs w:val="24"/>
          <w:lang w:eastAsia="zh-CN"/>
        </w:rPr>
        <w:t>面回归</w:t>
      </w:r>
      <w:proofErr w:type="gramEnd"/>
      <w:r w:rsidR="00AE1C6A">
        <w:rPr>
          <w:rFonts w:ascii="华文楷体" w:hAnsi="华文楷体" w:hint="eastAsia"/>
          <w:sz w:val="24"/>
          <w:szCs w:val="24"/>
          <w:lang w:eastAsia="zh-CN"/>
        </w:rPr>
        <w:t>中枢，利率也有明显下行，但是当前信用</w:t>
      </w:r>
      <w:proofErr w:type="gramStart"/>
      <w:r w:rsidR="00AE1C6A">
        <w:rPr>
          <w:rFonts w:ascii="华文楷体" w:hAnsi="华文楷体" w:hint="eastAsia"/>
          <w:sz w:val="24"/>
          <w:szCs w:val="24"/>
          <w:lang w:eastAsia="zh-CN"/>
        </w:rPr>
        <w:t>债内部</w:t>
      </w:r>
      <w:proofErr w:type="gramEnd"/>
      <w:r w:rsidR="00AE1C6A">
        <w:rPr>
          <w:rFonts w:ascii="华文楷体" w:hAnsi="华文楷体" w:hint="eastAsia"/>
          <w:sz w:val="24"/>
          <w:szCs w:val="24"/>
          <w:lang w:eastAsia="zh-CN"/>
        </w:rPr>
        <w:t>信用分层、流动性分层的情况仍日益严重，关注边际资质主体信用风险和流动性风险</w:t>
      </w:r>
      <w:r w:rsidR="00DE343B">
        <w:rPr>
          <w:rFonts w:ascii="华文楷体" w:hAnsi="华文楷体" w:hint="eastAsia"/>
          <w:sz w:val="24"/>
          <w:szCs w:val="24"/>
          <w:lang w:eastAsia="zh-CN"/>
        </w:rPr>
        <w:t>。</w:t>
      </w:r>
    </w:p>
    <w:p w14:paraId="4C893BAE" w14:textId="65A78C4E"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DE343B" w:rsidRPr="00DE343B">
        <w:rPr>
          <w:rFonts w:ascii="华文楷体" w:hAnsi="华文楷体" w:hint="eastAsia"/>
          <w:sz w:val="24"/>
          <w:szCs w:val="24"/>
          <w:lang w:eastAsia="zh-CN"/>
        </w:rPr>
        <w:t>A股市场仍处于调整行情之中，转债表现相对略好</w:t>
      </w:r>
      <w:r w:rsidR="00AE1C6A">
        <w:rPr>
          <w:rFonts w:ascii="华文楷体" w:hAnsi="华文楷体" w:hint="eastAsia"/>
          <w:sz w:val="24"/>
          <w:szCs w:val="24"/>
          <w:lang w:eastAsia="zh-CN"/>
        </w:rPr>
        <w:t>体现一定韧性</w:t>
      </w:r>
      <w:r w:rsidR="00DE343B">
        <w:rPr>
          <w:rFonts w:ascii="华文楷体" w:hAnsi="华文楷体" w:hint="eastAsia"/>
          <w:sz w:val="24"/>
          <w:szCs w:val="24"/>
          <w:lang w:eastAsia="zh-CN"/>
        </w:rPr>
        <w:t>，</w:t>
      </w:r>
      <w:r w:rsidR="00AE1C6A">
        <w:rPr>
          <w:rFonts w:ascii="华文楷体" w:hAnsi="华文楷体" w:hint="eastAsia"/>
          <w:sz w:val="24"/>
          <w:szCs w:val="24"/>
          <w:lang w:eastAsia="zh-CN"/>
        </w:rPr>
        <w:t>伴随估值调整，近期可关注业绩好、成长性强的正股对应转债，关注超跌个</w:t>
      </w:r>
      <w:proofErr w:type="gramStart"/>
      <w:r w:rsidR="00AE1C6A">
        <w:rPr>
          <w:rFonts w:ascii="华文楷体" w:hAnsi="华文楷体" w:hint="eastAsia"/>
          <w:sz w:val="24"/>
          <w:szCs w:val="24"/>
          <w:lang w:eastAsia="zh-CN"/>
        </w:rPr>
        <w:t>券</w:t>
      </w:r>
      <w:proofErr w:type="gramEnd"/>
      <w:r w:rsidR="00AE1C6A">
        <w:rPr>
          <w:rFonts w:ascii="华文楷体" w:hAnsi="华文楷体" w:hint="eastAsia"/>
          <w:sz w:val="24"/>
          <w:szCs w:val="24"/>
          <w:lang w:eastAsia="zh-CN"/>
        </w:rPr>
        <w:t>配置机会。</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98400C9" w:rsidR="001D35B3" w:rsidRPr="006A5F34" w:rsidRDefault="001D35B3" w:rsidP="00DE343B">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AE1C6A">
              <w:rPr>
                <w:rFonts w:hint="eastAsia"/>
              </w:rPr>
              <w:t>持续</w:t>
            </w:r>
            <w:r w:rsidR="00DE343B">
              <w:rPr>
                <w:rFonts w:hint="eastAsia"/>
              </w:rPr>
              <w:t>回调</w:t>
            </w:r>
          </w:p>
        </w:tc>
        <w:tc>
          <w:tcPr>
            <w:tcW w:w="4938" w:type="dxa"/>
            <w:vAlign w:val="center"/>
          </w:tcPr>
          <w:p w14:paraId="02A10F26" w14:textId="3C9BEA81"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71175B">
              <w:rPr>
                <w:rFonts w:hint="eastAsia"/>
              </w:rPr>
              <w:t>下行</w:t>
            </w:r>
            <w:r w:rsidR="00AE1C6A">
              <w:rPr>
                <w:rFonts w:hint="eastAsia"/>
              </w:rPr>
              <w:t>幅度收敛</w:t>
            </w:r>
          </w:p>
        </w:tc>
      </w:tr>
      <w:tr w:rsidR="001D35B3" w:rsidRPr="006A5F34" w14:paraId="205667F1" w14:textId="77777777" w:rsidTr="00AE1C6A">
        <w:tblPrEx>
          <w:tblCellMar>
            <w:left w:w="108" w:type="dxa"/>
            <w:right w:w="108" w:type="dxa"/>
          </w:tblCellMar>
        </w:tblPrEx>
        <w:trPr>
          <w:jc w:val="center"/>
        </w:trPr>
        <w:tc>
          <w:tcPr>
            <w:tcW w:w="4939" w:type="dxa"/>
            <w:vAlign w:val="center"/>
          </w:tcPr>
          <w:p w14:paraId="56C782C2" w14:textId="7EC1CEF2" w:rsidR="001D35B3" w:rsidRPr="007E0340" w:rsidRDefault="00AE1C6A" w:rsidP="009A2BA0">
            <w:pPr>
              <w:jc w:val="center"/>
              <w:rPr>
                <w:noProof/>
              </w:rPr>
            </w:pPr>
            <w:r>
              <w:rPr>
                <w:noProof/>
              </w:rPr>
              <w:drawing>
                <wp:inline distT="0" distB="0" distL="0" distR="0" wp14:anchorId="6C2D26ED" wp14:editId="42984B2E">
                  <wp:extent cx="2999105" cy="1957015"/>
                  <wp:effectExtent l="0" t="0" r="0" b="5715"/>
                  <wp:docPr id="10" name="图表 1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7B26CD93" w:rsidR="001D35B3" w:rsidRPr="007E0340" w:rsidRDefault="00AE1C6A" w:rsidP="009A2BA0">
            <w:pPr>
              <w:jc w:val="center"/>
              <w:rPr>
                <w:noProof/>
                <w:szCs w:val="18"/>
              </w:rPr>
            </w:pPr>
            <w:r>
              <w:rPr>
                <w:noProof/>
              </w:rPr>
              <w:drawing>
                <wp:inline distT="0" distB="0" distL="0" distR="0" wp14:anchorId="1AA96D5A" wp14:editId="21C5031A">
                  <wp:extent cx="2998470" cy="1919439"/>
                  <wp:effectExtent l="0" t="0" r="0" b="5080"/>
                  <wp:docPr id="12" name="图表 1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AE7FF1C"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AE1C6A">
              <w:rPr>
                <w:rFonts w:hint="eastAsia"/>
              </w:rPr>
              <w:t>持续</w:t>
            </w:r>
            <w:r w:rsidR="00DE343B">
              <w:rPr>
                <w:rFonts w:hint="eastAsia"/>
              </w:rPr>
              <w:t>回升</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AE1C6A">
        <w:tblPrEx>
          <w:tblCellMar>
            <w:left w:w="108" w:type="dxa"/>
            <w:right w:w="108" w:type="dxa"/>
          </w:tblCellMar>
        </w:tblPrEx>
        <w:trPr>
          <w:trHeight w:val="2987"/>
          <w:jc w:val="center"/>
        </w:trPr>
        <w:tc>
          <w:tcPr>
            <w:tcW w:w="4939" w:type="dxa"/>
            <w:vAlign w:val="center"/>
          </w:tcPr>
          <w:p w14:paraId="0BAC1731" w14:textId="73FDFA76" w:rsidR="001D35B3" w:rsidRPr="007E0340" w:rsidRDefault="00AE1C6A" w:rsidP="009A2BA0">
            <w:pPr>
              <w:jc w:val="center"/>
              <w:rPr>
                <w:noProof/>
              </w:rPr>
            </w:pPr>
            <w:r>
              <w:rPr>
                <w:noProof/>
              </w:rPr>
              <w:drawing>
                <wp:inline distT="0" distB="0" distL="0" distR="0" wp14:anchorId="717E8543" wp14:editId="6033F726">
                  <wp:extent cx="2999105" cy="1884763"/>
                  <wp:effectExtent l="0" t="0" r="10795" b="1270"/>
                  <wp:docPr id="13" name="图表 1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773EA9D7" w:rsidR="001D35B3" w:rsidRPr="007E0340" w:rsidRDefault="00AE1C6A" w:rsidP="009A2BA0">
            <w:pPr>
              <w:jc w:val="center"/>
              <w:rPr>
                <w:noProof/>
                <w:szCs w:val="18"/>
              </w:rPr>
            </w:pPr>
            <w:r>
              <w:rPr>
                <w:noProof/>
              </w:rPr>
              <w:drawing>
                <wp:inline distT="0" distB="0" distL="0" distR="0" wp14:anchorId="3A06A22E" wp14:editId="77B39AA2">
                  <wp:extent cx="2998470" cy="1879959"/>
                  <wp:effectExtent l="0" t="0" r="0" b="6350"/>
                  <wp:docPr id="14" name="图表 1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36DE518D" w14:textId="6D3BA9F0" w:rsidR="001170AF" w:rsidRPr="001A1299" w:rsidRDefault="00D973D2" w:rsidP="00D973D2">
      <w:pPr>
        <w:widowControl/>
        <w:jc w:val="left"/>
        <w:rPr>
          <w:rFonts w:ascii="华文楷体" w:hAnsi="华文楷体"/>
          <w:sz w:val="24"/>
          <w:szCs w:val="24"/>
        </w:rPr>
      </w:pPr>
      <w:r w:rsidRPr="00644D2B">
        <w:rPr>
          <w:rFonts w:ascii="楷体" w:eastAsia="楷体" w:hAnsi="楷体" w:hint="eastAsia"/>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44D2B">
        <w:rPr>
          <w:rFonts w:ascii="楷体" w:eastAsia="楷体" w:hAnsi="楷体" w:hint="eastAsia"/>
        </w:rPr>
        <w:t>作出</w:t>
      </w:r>
      <w:proofErr w:type="gramEnd"/>
      <w:r w:rsidRPr="00644D2B">
        <w:rPr>
          <w:rFonts w:ascii="楷体" w:eastAsia="楷体" w:hAnsi="楷体" w:hint="eastAsia"/>
        </w:rPr>
        <w:t>调整。2、本报告中的资料、观点和预测等仅供参考，在任何时候均不构成对任何人的个人推荐。市场有风险，投资需谨慎。</w:t>
      </w: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6ACD61" w14:textId="77777777" w:rsidR="00DC66D9" w:rsidRDefault="00DC66D9">
      <w:r>
        <w:separator/>
      </w:r>
    </w:p>
  </w:endnote>
  <w:endnote w:type="continuationSeparator" w:id="0">
    <w:p w14:paraId="4017BFEE" w14:textId="77777777" w:rsidR="00DC66D9" w:rsidRDefault="00DC6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47533E" w:rsidRDefault="0047533E">
        <w:pPr>
          <w:pStyle w:val="a4"/>
          <w:jc w:val="right"/>
        </w:pPr>
        <w:r>
          <w:fldChar w:fldCharType="begin"/>
        </w:r>
        <w:r>
          <w:instrText>PAGE   \* MERGEFORMAT</w:instrText>
        </w:r>
        <w:r>
          <w:fldChar w:fldCharType="separate"/>
        </w:r>
        <w:r w:rsidR="003436C0" w:rsidRPr="003436C0">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4A4FF" w14:textId="77777777" w:rsidR="00DC66D9" w:rsidRDefault="00DC66D9">
      <w:r>
        <w:separator/>
      </w:r>
    </w:p>
  </w:footnote>
  <w:footnote w:type="continuationSeparator" w:id="0">
    <w:p w14:paraId="346BD251" w14:textId="77777777" w:rsidR="00DC66D9" w:rsidRDefault="00DC66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47533E" w:rsidRDefault="0047533E"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776"/>
    <w:rsid w:val="003409B2"/>
    <w:rsid w:val="00340BAB"/>
    <w:rsid w:val="0034105F"/>
    <w:rsid w:val="00341169"/>
    <w:rsid w:val="003411E9"/>
    <w:rsid w:val="003413B0"/>
    <w:rsid w:val="00341DD0"/>
    <w:rsid w:val="00342223"/>
    <w:rsid w:val="00342482"/>
    <w:rsid w:val="00342E46"/>
    <w:rsid w:val="00342F15"/>
    <w:rsid w:val="00343038"/>
    <w:rsid w:val="00343434"/>
    <w:rsid w:val="003436C0"/>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973D2"/>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6D9"/>
    <w:rsid w:val="00DC6EF3"/>
    <w:rsid w:val="00DC6FE6"/>
    <w:rsid w:val="00DC7CA6"/>
    <w:rsid w:val="00DC7F90"/>
    <w:rsid w:val="00DD0678"/>
    <w:rsid w:val="00DD14FE"/>
    <w:rsid w:val="00DD15D2"/>
    <w:rsid w:val="00DD1DD5"/>
    <w:rsid w:val="00DD1F38"/>
    <w:rsid w:val="00DD20EF"/>
    <w:rsid w:val="00DD232B"/>
    <w:rsid w:val="00DD2776"/>
    <w:rsid w:val="00DD2EA7"/>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897"/>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44113</c:v>
                </c:pt>
                <c:pt idx="1">
                  <c:v>44120</c:v>
                </c:pt>
                <c:pt idx="2">
                  <c:v>44127</c:v>
                </c:pt>
                <c:pt idx="3">
                  <c:v>44134</c:v>
                </c:pt>
                <c:pt idx="4">
                  <c:v>44141</c:v>
                </c:pt>
                <c:pt idx="5">
                  <c:v>44148</c:v>
                </c:pt>
                <c:pt idx="6">
                  <c:v>44155</c:v>
                </c:pt>
                <c:pt idx="7">
                  <c:v>44162</c:v>
                </c:pt>
                <c:pt idx="8">
                  <c:v>44169</c:v>
                </c:pt>
                <c:pt idx="9">
                  <c:v>44176</c:v>
                </c:pt>
                <c:pt idx="10">
                  <c:v>44183</c:v>
                </c:pt>
                <c:pt idx="11">
                  <c:v>44190</c:v>
                </c:pt>
                <c:pt idx="12">
                  <c:v>44197</c:v>
                </c:pt>
                <c:pt idx="13">
                  <c:v>44204</c:v>
                </c:pt>
                <c:pt idx="14">
                  <c:v>44211</c:v>
                </c:pt>
                <c:pt idx="15">
                  <c:v>44218</c:v>
                </c:pt>
                <c:pt idx="16">
                  <c:v>44225</c:v>
                </c:pt>
                <c:pt idx="17">
                  <c:v>44232</c:v>
                </c:pt>
                <c:pt idx="18">
                  <c:v>44239</c:v>
                </c:pt>
                <c:pt idx="19">
                  <c:v>44246</c:v>
                </c:pt>
                <c:pt idx="20">
                  <c:v>44253</c:v>
                </c:pt>
                <c:pt idx="21">
                  <c:v>44260</c:v>
                </c:pt>
                <c:pt idx="22">
                  <c:v>44267</c:v>
                </c:pt>
              </c:numCache>
            </c:numRef>
          </c:cat>
          <c:val>
            <c:numRef>
              <c:f>央行!$B$5:$B$27</c:f>
              <c:numCache>
                <c:formatCode>###,###,###,###,##0.00</c:formatCode>
                <c:ptCount val="23"/>
                <c:pt idx="0">
                  <c:v>0</c:v>
                </c:pt>
                <c:pt idx="1">
                  <c:v>1000</c:v>
                </c:pt>
                <c:pt idx="2">
                  <c:v>3200</c:v>
                </c:pt>
                <c:pt idx="3">
                  <c:v>5150</c:v>
                </c:pt>
                <c:pt idx="4">
                  <c:v>3200</c:v>
                </c:pt>
                <c:pt idx="5">
                  <c:v>5500</c:v>
                </c:pt>
                <c:pt idx="6">
                  <c:v>3000</c:v>
                </c:pt>
                <c:pt idx="7">
                  <c:v>4350</c:v>
                </c:pt>
                <c:pt idx="8">
                  <c:v>2000</c:v>
                </c:pt>
                <c:pt idx="9">
                  <c:v>1500</c:v>
                </c:pt>
                <c:pt idx="10">
                  <c:v>600</c:v>
                </c:pt>
                <c:pt idx="11">
                  <c:v>4300</c:v>
                </c:pt>
                <c:pt idx="12">
                  <c:v>1750</c:v>
                </c:pt>
                <c:pt idx="13">
                  <c:v>550</c:v>
                </c:pt>
                <c:pt idx="14">
                  <c:v>160</c:v>
                </c:pt>
                <c:pt idx="15">
                  <c:v>6140</c:v>
                </c:pt>
                <c:pt idx="16">
                  <c:v>3890</c:v>
                </c:pt>
                <c:pt idx="17">
                  <c:v>4800</c:v>
                </c:pt>
                <c:pt idx="18">
                  <c:v>2300</c:v>
                </c:pt>
                <c:pt idx="19">
                  <c:v>400</c:v>
                </c:pt>
                <c:pt idx="20">
                  <c:v>800</c:v>
                </c:pt>
                <c:pt idx="21">
                  <c:v>550</c:v>
                </c:pt>
                <c:pt idx="22">
                  <c:v>500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44113</c:v>
                </c:pt>
                <c:pt idx="1">
                  <c:v>44120</c:v>
                </c:pt>
                <c:pt idx="2">
                  <c:v>44127</c:v>
                </c:pt>
                <c:pt idx="3">
                  <c:v>44134</c:v>
                </c:pt>
                <c:pt idx="4">
                  <c:v>44141</c:v>
                </c:pt>
                <c:pt idx="5">
                  <c:v>44148</c:v>
                </c:pt>
                <c:pt idx="6">
                  <c:v>44155</c:v>
                </c:pt>
                <c:pt idx="7">
                  <c:v>44162</c:v>
                </c:pt>
                <c:pt idx="8">
                  <c:v>44169</c:v>
                </c:pt>
                <c:pt idx="9">
                  <c:v>44176</c:v>
                </c:pt>
                <c:pt idx="10">
                  <c:v>44183</c:v>
                </c:pt>
                <c:pt idx="11">
                  <c:v>44190</c:v>
                </c:pt>
                <c:pt idx="12">
                  <c:v>44197</c:v>
                </c:pt>
                <c:pt idx="13">
                  <c:v>44204</c:v>
                </c:pt>
                <c:pt idx="14">
                  <c:v>44211</c:v>
                </c:pt>
                <c:pt idx="15">
                  <c:v>44218</c:v>
                </c:pt>
                <c:pt idx="16">
                  <c:v>44225</c:v>
                </c:pt>
                <c:pt idx="17">
                  <c:v>44232</c:v>
                </c:pt>
                <c:pt idx="18">
                  <c:v>44239</c:v>
                </c:pt>
                <c:pt idx="19">
                  <c:v>44246</c:v>
                </c:pt>
                <c:pt idx="20">
                  <c:v>44253</c:v>
                </c:pt>
                <c:pt idx="21">
                  <c:v>44260</c:v>
                </c:pt>
                <c:pt idx="22">
                  <c:v>44267</c:v>
                </c:pt>
              </c:numCache>
            </c:numRef>
          </c:cat>
          <c:val>
            <c:numRef>
              <c:f>央行!$C$5:$C$27</c:f>
              <c:numCache>
                <c:formatCode>###,###,###,###,##0.00</c:formatCode>
                <c:ptCount val="23"/>
                <c:pt idx="0">
                  <c:v>-5000</c:v>
                </c:pt>
                <c:pt idx="1">
                  <c:v>-2100</c:v>
                </c:pt>
                <c:pt idx="2">
                  <c:v>-1000</c:v>
                </c:pt>
                <c:pt idx="3">
                  <c:v>-3250</c:v>
                </c:pt>
                <c:pt idx="4">
                  <c:v>-5100</c:v>
                </c:pt>
                <c:pt idx="5">
                  <c:v>-3200</c:v>
                </c:pt>
                <c:pt idx="6">
                  <c:v>-5500</c:v>
                </c:pt>
                <c:pt idx="7">
                  <c:v>-3050</c:v>
                </c:pt>
                <c:pt idx="8">
                  <c:v>-4300</c:v>
                </c:pt>
                <c:pt idx="9">
                  <c:v>-2000</c:v>
                </c:pt>
                <c:pt idx="10">
                  <c:v>-1500</c:v>
                </c:pt>
                <c:pt idx="11">
                  <c:v>-650</c:v>
                </c:pt>
                <c:pt idx="12">
                  <c:v>-800</c:v>
                </c:pt>
                <c:pt idx="13">
                  <c:v>-5200</c:v>
                </c:pt>
                <c:pt idx="14">
                  <c:v>-550</c:v>
                </c:pt>
                <c:pt idx="15">
                  <c:v>-160</c:v>
                </c:pt>
                <c:pt idx="16">
                  <c:v>-6190</c:v>
                </c:pt>
                <c:pt idx="17">
                  <c:v>-3840</c:v>
                </c:pt>
                <c:pt idx="18">
                  <c:v>-2800</c:v>
                </c:pt>
                <c:pt idx="19">
                  <c:v>-3800</c:v>
                </c:pt>
                <c:pt idx="20">
                  <c:v>-950</c:v>
                </c:pt>
                <c:pt idx="21">
                  <c:v>-800</c:v>
                </c:pt>
                <c:pt idx="22">
                  <c:v>-500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421549568"/>
        <c:axId val="42155148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44113</c:v>
                </c:pt>
                <c:pt idx="1">
                  <c:v>44120</c:v>
                </c:pt>
                <c:pt idx="2">
                  <c:v>44127</c:v>
                </c:pt>
                <c:pt idx="3">
                  <c:v>44134</c:v>
                </c:pt>
                <c:pt idx="4">
                  <c:v>44141</c:v>
                </c:pt>
                <c:pt idx="5">
                  <c:v>44148</c:v>
                </c:pt>
                <c:pt idx="6">
                  <c:v>44155</c:v>
                </c:pt>
                <c:pt idx="7">
                  <c:v>44162</c:v>
                </c:pt>
                <c:pt idx="8">
                  <c:v>44169</c:v>
                </c:pt>
                <c:pt idx="9">
                  <c:v>44176</c:v>
                </c:pt>
                <c:pt idx="10">
                  <c:v>44183</c:v>
                </c:pt>
                <c:pt idx="11">
                  <c:v>44190</c:v>
                </c:pt>
                <c:pt idx="12">
                  <c:v>44197</c:v>
                </c:pt>
                <c:pt idx="13">
                  <c:v>44204</c:v>
                </c:pt>
                <c:pt idx="14">
                  <c:v>44211</c:v>
                </c:pt>
                <c:pt idx="15">
                  <c:v>44218</c:v>
                </c:pt>
                <c:pt idx="16">
                  <c:v>44225</c:v>
                </c:pt>
                <c:pt idx="17">
                  <c:v>44232</c:v>
                </c:pt>
                <c:pt idx="18">
                  <c:v>44239</c:v>
                </c:pt>
                <c:pt idx="19">
                  <c:v>44246</c:v>
                </c:pt>
                <c:pt idx="20">
                  <c:v>44253</c:v>
                </c:pt>
                <c:pt idx="21">
                  <c:v>44260</c:v>
                </c:pt>
                <c:pt idx="22">
                  <c:v>44267</c:v>
                </c:pt>
              </c:numCache>
            </c:numRef>
          </c:cat>
          <c:val>
            <c:numRef>
              <c:f>央行!$D$5:$D$27</c:f>
              <c:numCache>
                <c:formatCode>###,###,###,###,##0.00</c:formatCode>
                <c:ptCount val="23"/>
                <c:pt idx="0">
                  <c:v>-5000</c:v>
                </c:pt>
                <c:pt idx="1">
                  <c:v>-1100</c:v>
                </c:pt>
                <c:pt idx="2">
                  <c:v>2200</c:v>
                </c:pt>
                <c:pt idx="3">
                  <c:v>1900</c:v>
                </c:pt>
                <c:pt idx="4">
                  <c:v>-1900</c:v>
                </c:pt>
                <c:pt idx="5">
                  <c:v>2300</c:v>
                </c:pt>
                <c:pt idx="6">
                  <c:v>-2500</c:v>
                </c:pt>
                <c:pt idx="7">
                  <c:v>1300</c:v>
                </c:pt>
                <c:pt idx="8">
                  <c:v>-2300</c:v>
                </c:pt>
                <c:pt idx="9">
                  <c:v>-500</c:v>
                </c:pt>
                <c:pt idx="10">
                  <c:v>-900</c:v>
                </c:pt>
                <c:pt idx="11">
                  <c:v>3650</c:v>
                </c:pt>
                <c:pt idx="12">
                  <c:v>950</c:v>
                </c:pt>
                <c:pt idx="13">
                  <c:v>-4650</c:v>
                </c:pt>
                <c:pt idx="14">
                  <c:v>-390</c:v>
                </c:pt>
                <c:pt idx="15">
                  <c:v>5980</c:v>
                </c:pt>
                <c:pt idx="16">
                  <c:v>-2300</c:v>
                </c:pt>
                <c:pt idx="17">
                  <c:v>960</c:v>
                </c:pt>
                <c:pt idx="18">
                  <c:v>-500</c:v>
                </c:pt>
                <c:pt idx="19">
                  <c:v>-3400</c:v>
                </c:pt>
                <c:pt idx="20">
                  <c:v>-150</c:v>
                </c:pt>
                <c:pt idx="21">
                  <c:v>-250</c:v>
                </c:pt>
                <c:pt idx="22">
                  <c:v>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421549568"/>
        <c:axId val="421551488"/>
      </c:lineChart>
      <c:catAx>
        <c:axId val="42154956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21551488"/>
        <c:crosses val="autoZero"/>
        <c:auto val="0"/>
        <c:lblAlgn val="ctr"/>
        <c:lblOffset val="0"/>
        <c:tickMarkSkip val="2"/>
        <c:noMultiLvlLbl val="0"/>
      </c:catAx>
      <c:valAx>
        <c:axId val="42155148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21549568"/>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9641581330831055"/>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44267</c:v>
                </c:pt>
                <c:pt idx="1">
                  <c:v>44266</c:v>
                </c:pt>
                <c:pt idx="2">
                  <c:v>44265</c:v>
                </c:pt>
                <c:pt idx="3">
                  <c:v>44264</c:v>
                </c:pt>
                <c:pt idx="4">
                  <c:v>44263</c:v>
                </c:pt>
                <c:pt idx="5">
                  <c:v>44260</c:v>
                </c:pt>
                <c:pt idx="6">
                  <c:v>44259</c:v>
                </c:pt>
                <c:pt idx="7">
                  <c:v>44258</c:v>
                </c:pt>
                <c:pt idx="8">
                  <c:v>44257</c:v>
                </c:pt>
                <c:pt idx="9">
                  <c:v>44256</c:v>
                </c:pt>
                <c:pt idx="10">
                  <c:v>44253</c:v>
                </c:pt>
                <c:pt idx="11">
                  <c:v>44252</c:v>
                </c:pt>
                <c:pt idx="12">
                  <c:v>44251</c:v>
                </c:pt>
                <c:pt idx="13">
                  <c:v>44250</c:v>
                </c:pt>
                <c:pt idx="14">
                  <c:v>44249</c:v>
                </c:pt>
                <c:pt idx="15">
                  <c:v>44247</c:v>
                </c:pt>
                <c:pt idx="16">
                  <c:v>44246</c:v>
                </c:pt>
                <c:pt idx="17">
                  <c:v>44245</c:v>
                </c:pt>
                <c:pt idx="18">
                  <c:v>44237</c:v>
                </c:pt>
                <c:pt idx="19">
                  <c:v>44236</c:v>
                </c:pt>
                <c:pt idx="20">
                  <c:v>44235</c:v>
                </c:pt>
                <c:pt idx="21">
                  <c:v>44234</c:v>
                </c:pt>
                <c:pt idx="22">
                  <c:v>44232</c:v>
                </c:pt>
                <c:pt idx="23">
                  <c:v>44231</c:v>
                </c:pt>
                <c:pt idx="24">
                  <c:v>44230</c:v>
                </c:pt>
                <c:pt idx="25">
                  <c:v>44229</c:v>
                </c:pt>
                <c:pt idx="26">
                  <c:v>44228</c:v>
                </c:pt>
                <c:pt idx="27">
                  <c:v>44225</c:v>
                </c:pt>
                <c:pt idx="28">
                  <c:v>44224</c:v>
                </c:pt>
                <c:pt idx="29">
                  <c:v>44223</c:v>
                </c:pt>
                <c:pt idx="30">
                  <c:v>44222</c:v>
                </c:pt>
                <c:pt idx="31">
                  <c:v>44221</c:v>
                </c:pt>
                <c:pt idx="32">
                  <c:v>44218</c:v>
                </c:pt>
                <c:pt idx="33">
                  <c:v>44217</c:v>
                </c:pt>
                <c:pt idx="34">
                  <c:v>44216</c:v>
                </c:pt>
                <c:pt idx="35">
                  <c:v>44215</c:v>
                </c:pt>
                <c:pt idx="36">
                  <c:v>44214</c:v>
                </c:pt>
                <c:pt idx="37">
                  <c:v>44211</c:v>
                </c:pt>
                <c:pt idx="38">
                  <c:v>44210</c:v>
                </c:pt>
                <c:pt idx="39">
                  <c:v>44209</c:v>
                </c:pt>
                <c:pt idx="40">
                  <c:v>44208</c:v>
                </c:pt>
                <c:pt idx="41">
                  <c:v>44207</c:v>
                </c:pt>
                <c:pt idx="42">
                  <c:v>44204</c:v>
                </c:pt>
                <c:pt idx="43">
                  <c:v>44203</c:v>
                </c:pt>
                <c:pt idx="44">
                  <c:v>44202</c:v>
                </c:pt>
                <c:pt idx="45">
                  <c:v>44201</c:v>
                </c:pt>
                <c:pt idx="46">
                  <c:v>44200</c:v>
                </c:pt>
                <c:pt idx="47">
                  <c:v>44196</c:v>
                </c:pt>
                <c:pt idx="48">
                  <c:v>44195</c:v>
                </c:pt>
                <c:pt idx="49">
                  <c:v>44194</c:v>
                </c:pt>
                <c:pt idx="50">
                  <c:v>44193</c:v>
                </c:pt>
                <c:pt idx="51">
                  <c:v>44190</c:v>
                </c:pt>
                <c:pt idx="52">
                  <c:v>44189</c:v>
                </c:pt>
                <c:pt idx="53">
                  <c:v>44188</c:v>
                </c:pt>
                <c:pt idx="54">
                  <c:v>44187</c:v>
                </c:pt>
                <c:pt idx="55">
                  <c:v>44186</c:v>
                </c:pt>
                <c:pt idx="56">
                  <c:v>44183</c:v>
                </c:pt>
                <c:pt idx="57">
                  <c:v>44182</c:v>
                </c:pt>
                <c:pt idx="58">
                  <c:v>44181</c:v>
                </c:pt>
              </c:numCache>
            </c:numRef>
          </c:cat>
          <c:val>
            <c:numRef>
              <c:f>资金!$B$3:$B$61</c:f>
              <c:numCache>
                <c:formatCode>###,###,###,###,##0.0000</c:formatCode>
                <c:ptCount val="59"/>
                <c:pt idx="0">
                  <c:v>1.8247</c:v>
                </c:pt>
                <c:pt idx="1">
                  <c:v>1.8349</c:v>
                </c:pt>
                <c:pt idx="2">
                  <c:v>1.7825</c:v>
                </c:pt>
                <c:pt idx="3">
                  <c:v>2.0304000000000002</c:v>
                </c:pt>
                <c:pt idx="4">
                  <c:v>1.7479</c:v>
                </c:pt>
                <c:pt idx="5">
                  <c:v>1.6113999999999999</c:v>
                </c:pt>
                <c:pt idx="6">
                  <c:v>1.9486000000000001</c:v>
                </c:pt>
                <c:pt idx="7">
                  <c:v>1.532</c:v>
                </c:pt>
                <c:pt idx="8">
                  <c:v>1.8036000000000001</c:v>
                </c:pt>
                <c:pt idx="9">
                  <c:v>2.1819999999999999</c:v>
                </c:pt>
                <c:pt idx="10">
                  <c:v>2.2122000000000002</c:v>
                </c:pt>
                <c:pt idx="11">
                  <c:v>1.7466999999999999</c:v>
                </c:pt>
                <c:pt idx="12">
                  <c:v>1.5522</c:v>
                </c:pt>
                <c:pt idx="13">
                  <c:v>1.9908999999999999</c:v>
                </c:pt>
                <c:pt idx="14">
                  <c:v>1.5585</c:v>
                </c:pt>
                <c:pt idx="15">
                  <c:v>1.4419</c:v>
                </c:pt>
                <c:pt idx="16">
                  <c:v>1.8237000000000001</c:v>
                </c:pt>
                <c:pt idx="17">
                  <c:v>2.3538999999999999</c:v>
                </c:pt>
                <c:pt idx="18">
                  <c:v>1.8607</c:v>
                </c:pt>
                <c:pt idx="19">
                  <c:v>1.7911999999999999</c:v>
                </c:pt>
                <c:pt idx="20">
                  <c:v>1.9377</c:v>
                </c:pt>
                <c:pt idx="21">
                  <c:v>1.5358000000000001</c:v>
                </c:pt>
                <c:pt idx="22">
                  <c:v>1.8911</c:v>
                </c:pt>
                <c:pt idx="23">
                  <c:v>2.1088</c:v>
                </c:pt>
                <c:pt idx="24">
                  <c:v>1.9271</c:v>
                </c:pt>
                <c:pt idx="25">
                  <c:v>2.2991999999999999</c:v>
                </c:pt>
                <c:pt idx="26">
                  <c:v>3.0550999999999999</c:v>
                </c:pt>
                <c:pt idx="27">
                  <c:v>6.5883000000000003</c:v>
                </c:pt>
                <c:pt idx="28">
                  <c:v>4.2148000000000003</c:v>
                </c:pt>
                <c:pt idx="29">
                  <c:v>3.5893999999999999</c:v>
                </c:pt>
                <c:pt idx="30">
                  <c:v>3.1797</c:v>
                </c:pt>
                <c:pt idx="31">
                  <c:v>2.6110000000000002</c:v>
                </c:pt>
                <c:pt idx="32">
                  <c:v>2.5579000000000001</c:v>
                </c:pt>
                <c:pt idx="33">
                  <c:v>2.7303000000000002</c:v>
                </c:pt>
                <c:pt idx="34">
                  <c:v>2.6476999999999999</c:v>
                </c:pt>
                <c:pt idx="35">
                  <c:v>2.4173</c:v>
                </c:pt>
                <c:pt idx="36">
                  <c:v>2.2145999999999999</c:v>
                </c:pt>
                <c:pt idx="37">
                  <c:v>1.81</c:v>
                </c:pt>
                <c:pt idx="38">
                  <c:v>1.7403999999999999</c:v>
                </c:pt>
                <c:pt idx="39">
                  <c:v>1.466</c:v>
                </c:pt>
                <c:pt idx="40">
                  <c:v>1.4098999999999999</c:v>
                </c:pt>
                <c:pt idx="41">
                  <c:v>1.2854000000000001</c:v>
                </c:pt>
                <c:pt idx="42">
                  <c:v>1.0166999999999999</c:v>
                </c:pt>
                <c:pt idx="43">
                  <c:v>0.99309999999999998</c:v>
                </c:pt>
                <c:pt idx="44">
                  <c:v>0.69089999999999996</c:v>
                </c:pt>
                <c:pt idx="45">
                  <c:v>0.80669999999999997</c:v>
                </c:pt>
                <c:pt idx="46">
                  <c:v>0.96089999999999998</c:v>
                </c:pt>
                <c:pt idx="47">
                  <c:v>1.4548000000000001</c:v>
                </c:pt>
                <c:pt idx="48">
                  <c:v>0.7712</c:v>
                </c:pt>
                <c:pt idx="49">
                  <c:v>0.71660000000000001</c:v>
                </c:pt>
                <c:pt idx="50">
                  <c:v>0.74880000000000002</c:v>
                </c:pt>
                <c:pt idx="51">
                  <c:v>0.86060000000000003</c:v>
                </c:pt>
                <c:pt idx="52">
                  <c:v>0.69410000000000005</c:v>
                </c:pt>
                <c:pt idx="53">
                  <c:v>0.68979999999999997</c:v>
                </c:pt>
                <c:pt idx="54">
                  <c:v>1.0650999999999999</c:v>
                </c:pt>
                <c:pt idx="55">
                  <c:v>1.5268999999999999</c:v>
                </c:pt>
                <c:pt idx="56">
                  <c:v>1.7833000000000001</c:v>
                </c:pt>
                <c:pt idx="57">
                  <c:v>1.4323999999999999</c:v>
                </c:pt>
                <c:pt idx="58">
                  <c:v>1.0374000000000001</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44267</c:v>
                </c:pt>
                <c:pt idx="1">
                  <c:v>44266</c:v>
                </c:pt>
                <c:pt idx="2">
                  <c:v>44265</c:v>
                </c:pt>
                <c:pt idx="3">
                  <c:v>44264</c:v>
                </c:pt>
                <c:pt idx="4">
                  <c:v>44263</c:v>
                </c:pt>
                <c:pt idx="5">
                  <c:v>44260</c:v>
                </c:pt>
                <c:pt idx="6">
                  <c:v>44259</c:v>
                </c:pt>
                <c:pt idx="7">
                  <c:v>44258</c:v>
                </c:pt>
                <c:pt idx="8">
                  <c:v>44257</c:v>
                </c:pt>
                <c:pt idx="9">
                  <c:v>44256</c:v>
                </c:pt>
                <c:pt idx="10">
                  <c:v>44253</c:v>
                </c:pt>
                <c:pt idx="11">
                  <c:v>44252</c:v>
                </c:pt>
                <c:pt idx="12">
                  <c:v>44251</c:v>
                </c:pt>
                <c:pt idx="13">
                  <c:v>44250</c:v>
                </c:pt>
                <c:pt idx="14">
                  <c:v>44249</c:v>
                </c:pt>
                <c:pt idx="15">
                  <c:v>44247</c:v>
                </c:pt>
                <c:pt idx="16">
                  <c:v>44246</c:v>
                </c:pt>
                <c:pt idx="17">
                  <c:v>44245</c:v>
                </c:pt>
                <c:pt idx="18">
                  <c:v>44237</c:v>
                </c:pt>
                <c:pt idx="19">
                  <c:v>44236</c:v>
                </c:pt>
                <c:pt idx="20">
                  <c:v>44235</c:v>
                </c:pt>
                <c:pt idx="21">
                  <c:v>44234</c:v>
                </c:pt>
                <c:pt idx="22">
                  <c:v>44232</c:v>
                </c:pt>
                <c:pt idx="23">
                  <c:v>44231</c:v>
                </c:pt>
                <c:pt idx="24">
                  <c:v>44230</c:v>
                </c:pt>
                <c:pt idx="25">
                  <c:v>44229</c:v>
                </c:pt>
                <c:pt idx="26">
                  <c:v>44228</c:v>
                </c:pt>
                <c:pt idx="27">
                  <c:v>44225</c:v>
                </c:pt>
                <c:pt idx="28">
                  <c:v>44224</c:v>
                </c:pt>
                <c:pt idx="29">
                  <c:v>44223</c:v>
                </c:pt>
                <c:pt idx="30">
                  <c:v>44222</c:v>
                </c:pt>
                <c:pt idx="31">
                  <c:v>44221</c:v>
                </c:pt>
                <c:pt idx="32">
                  <c:v>44218</c:v>
                </c:pt>
                <c:pt idx="33">
                  <c:v>44217</c:v>
                </c:pt>
                <c:pt idx="34">
                  <c:v>44216</c:v>
                </c:pt>
                <c:pt idx="35">
                  <c:v>44215</c:v>
                </c:pt>
                <c:pt idx="36">
                  <c:v>44214</c:v>
                </c:pt>
                <c:pt idx="37">
                  <c:v>44211</c:v>
                </c:pt>
                <c:pt idx="38">
                  <c:v>44210</c:v>
                </c:pt>
                <c:pt idx="39">
                  <c:v>44209</c:v>
                </c:pt>
                <c:pt idx="40">
                  <c:v>44208</c:v>
                </c:pt>
                <c:pt idx="41">
                  <c:v>44207</c:v>
                </c:pt>
                <c:pt idx="42">
                  <c:v>44204</c:v>
                </c:pt>
                <c:pt idx="43">
                  <c:v>44203</c:v>
                </c:pt>
                <c:pt idx="44">
                  <c:v>44202</c:v>
                </c:pt>
                <c:pt idx="45">
                  <c:v>44201</c:v>
                </c:pt>
                <c:pt idx="46">
                  <c:v>44200</c:v>
                </c:pt>
                <c:pt idx="47">
                  <c:v>44196</c:v>
                </c:pt>
                <c:pt idx="48">
                  <c:v>44195</c:v>
                </c:pt>
                <c:pt idx="49">
                  <c:v>44194</c:v>
                </c:pt>
                <c:pt idx="50">
                  <c:v>44193</c:v>
                </c:pt>
                <c:pt idx="51">
                  <c:v>44190</c:v>
                </c:pt>
                <c:pt idx="52">
                  <c:v>44189</c:v>
                </c:pt>
                <c:pt idx="53">
                  <c:v>44188</c:v>
                </c:pt>
                <c:pt idx="54">
                  <c:v>44187</c:v>
                </c:pt>
                <c:pt idx="55">
                  <c:v>44186</c:v>
                </c:pt>
                <c:pt idx="56">
                  <c:v>44183</c:v>
                </c:pt>
                <c:pt idx="57">
                  <c:v>44182</c:v>
                </c:pt>
                <c:pt idx="58">
                  <c:v>44181</c:v>
                </c:pt>
              </c:numCache>
            </c:numRef>
          </c:cat>
          <c:val>
            <c:numRef>
              <c:f>资金!$C$3:$C$61</c:f>
              <c:numCache>
                <c:formatCode>###,###,###,###,##0.0000</c:formatCode>
                <c:ptCount val="59"/>
                <c:pt idx="0">
                  <c:v>2.0649999999999999</c:v>
                </c:pt>
                <c:pt idx="1">
                  <c:v>2.0508999999999999</c:v>
                </c:pt>
                <c:pt idx="2">
                  <c:v>2.0379</c:v>
                </c:pt>
                <c:pt idx="3">
                  <c:v>2.0366</c:v>
                </c:pt>
                <c:pt idx="4">
                  <c:v>2.0465</c:v>
                </c:pt>
                <c:pt idx="5">
                  <c:v>1.9971000000000001</c:v>
                </c:pt>
                <c:pt idx="6">
                  <c:v>2.0945999999999998</c:v>
                </c:pt>
                <c:pt idx="7">
                  <c:v>1.9888999999999999</c:v>
                </c:pt>
                <c:pt idx="8">
                  <c:v>2.1551999999999998</c:v>
                </c:pt>
                <c:pt idx="9">
                  <c:v>2.2427000000000001</c:v>
                </c:pt>
                <c:pt idx="10">
                  <c:v>2.3666999999999998</c:v>
                </c:pt>
                <c:pt idx="11">
                  <c:v>2.2989999999999999</c:v>
                </c:pt>
                <c:pt idx="12">
                  <c:v>2.3325999999999998</c:v>
                </c:pt>
                <c:pt idx="13">
                  <c:v>2.4706999999999999</c:v>
                </c:pt>
                <c:pt idx="14">
                  <c:v>2.4460999999999999</c:v>
                </c:pt>
                <c:pt idx="15">
                  <c:v>2.0444</c:v>
                </c:pt>
                <c:pt idx="16">
                  <c:v>2.0552999999999999</c:v>
                </c:pt>
                <c:pt idx="17">
                  <c:v>2.294</c:v>
                </c:pt>
                <c:pt idx="18">
                  <c:v>2.1448</c:v>
                </c:pt>
                <c:pt idx="19">
                  <c:v>2.5484</c:v>
                </c:pt>
                <c:pt idx="20">
                  <c:v>2.5283000000000002</c:v>
                </c:pt>
                <c:pt idx="21">
                  <c:v>2.4319999999999999</c:v>
                </c:pt>
                <c:pt idx="22">
                  <c:v>2.2995999999999999</c:v>
                </c:pt>
                <c:pt idx="23">
                  <c:v>2.5297000000000001</c:v>
                </c:pt>
                <c:pt idx="24">
                  <c:v>2.2336</c:v>
                </c:pt>
                <c:pt idx="25">
                  <c:v>2.5807000000000002</c:v>
                </c:pt>
                <c:pt idx="26">
                  <c:v>3.7665999999999999</c:v>
                </c:pt>
                <c:pt idx="27">
                  <c:v>4.3929999999999998</c:v>
                </c:pt>
                <c:pt idx="28">
                  <c:v>4.8315000000000001</c:v>
                </c:pt>
                <c:pt idx="29">
                  <c:v>4.0193000000000003</c:v>
                </c:pt>
                <c:pt idx="30">
                  <c:v>3.3340999999999998</c:v>
                </c:pt>
                <c:pt idx="31">
                  <c:v>2.7936999999999999</c:v>
                </c:pt>
                <c:pt idx="32">
                  <c:v>2.5236000000000001</c:v>
                </c:pt>
                <c:pt idx="33">
                  <c:v>2.7056</c:v>
                </c:pt>
                <c:pt idx="34">
                  <c:v>2.8475000000000001</c:v>
                </c:pt>
                <c:pt idx="35">
                  <c:v>2.7555000000000001</c:v>
                </c:pt>
                <c:pt idx="36">
                  <c:v>2.2976000000000001</c:v>
                </c:pt>
                <c:pt idx="37">
                  <c:v>2.0333999999999999</c:v>
                </c:pt>
                <c:pt idx="38">
                  <c:v>2.0226000000000002</c:v>
                </c:pt>
                <c:pt idx="39">
                  <c:v>2.0316000000000001</c:v>
                </c:pt>
                <c:pt idx="40">
                  <c:v>1.9894000000000001</c:v>
                </c:pt>
                <c:pt idx="41">
                  <c:v>1.9881</c:v>
                </c:pt>
                <c:pt idx="42">
                  <c:v>1.9588000000000001</c:v>
                </c:pt>
                <c:pt idx="43">
                  <c:v>1.9403999999999999</c:v>
                </c:pt>
                <c:pt idx="44">
                  <c:v>1.99</c:v>
                </c:pt>
                <c:pt idx="45">
                  <c:v>1.9370000000000001</c:v>
                </c:pt>
                <c:pt idx="46">
                  <c:v>2.0960000000000001</c:v>
                </c:pt>
                <c:pt idx="47">
                  <c:v>2.5943000000000001</c:v>
                </c:pt>
                <c:pt idx="48">
                  <c:v>3.3605</c:v>
                </c:pt>
                <c:pt idx="49">
                  <c:v>2.9542000000000002</c:v>
                </c:pt>
                <c:pt idx="50">
                  <c:v>2.7515999999999998</c:v>
                </c:pt>
                <c:pt idx="51">
                  <c:v>2.4668000000000001</c:v>
                </c:pt>
                <c:pt idx="52">
                  <c:v>1.7735000000000001</c:v>
                </c:pt>
                <c:pt idx="53">
                  <c:v>2.0478000000000001</c:v>
                </c:pt>
                <c:pt idx="54">
                  <c:v>2.1903999999999999</c:v>
                </c:pt>
                <c:pt idx="55">
                  <c:v>2.2450999999999999</c:v>
                </c:pt>
                <c:pt idx="56">
                  <c:v>2.2906</c:v>
                </c:pt>
                <c:pt idx="57">
                  <c:v>2.1383999999999999</c:v>
                </c:pt>
                <c:pt idx="58">
                  <c:v>2.1206</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421571968"/>
        <c:axId val="422708352"/>
      </c:lineChart>
      <c:dateAx>
        <c:axId val="42157196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22708352"/>
        <c:crosses val="autoZero"/>
        <c:auto val="0"/>
        <c:lblOffset val="0"/>
        <c:baseTimeUnit val="days"/>
        <c:majorUnit val="14"/>
        <c:majorTimeUnit val="days"/>
        <c:minorUnit val="7"/>
        <c:minorTimeUnit val="days"/>
      </c:dateAx>
      <c:valAx>
        <c:axId val="42270835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2157196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6.150000000000011</c:v>
                </c:pt>
                <c:pt idx="1">
                  <c:v>-0.40000000000000036</c:v>
                </c:pt>
                <c:pt idx="2">
                  <c:v>0.17000000000000348</c:v>
                </c:pt>
                <c:pt idx="3">
                  <c:v>3.8800000000000168</c:v>
                </c:pt>
                <c:pt idx="4">
                  <c:v>1.2499999999999734</c:v>
                </c:pt>
                <c:pt idx="5">
                  <c:v>1.3500000000000068</c:v>
                </c:pt>
                <c:pt idx="6">
                  <c:v>1.5600000000000058</c:v>
                </c:pt>
              </c:numCache>
            </c:numRef>
          </c:val>
          <c:extLst xmlns:c16r2="http://schemas.microsoft.com/office/drawing/2015/06/chart">
            <c:ext xmlns:c16="http://schemas.microsoft.com/office/drawing/2014/chart" uri="{C3380CC4-5D6E-409C-BE32-E72D297353CC}">
              <c16:uniqueId val="{00000000-BD83-4FE4-B0CE-17BC12D481D4}"/>
            </c:ext>
          </c:extLst>
        </c:ser>
        <c:dLbls>
          <c:showLegendKey val="0"/>
          <c:showVal val="0"/>
          <c:showCatName val="0"/>
          <c:showSerName val="0"/>
          <c:showPercent val="0"/>
          <c:showBubbleSize val="0"/>
        </c:dLbls>
        <c:gapWidth val="150"/>
        <c:axId val="424467456"/>
        <c:axId val="424469632"/>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BD83-4FE4-B0CE-17BC12D481D4}"/>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BD83-4FE4-B0CE-17BC12D481D4}"/>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BD83-4FE4-B0CE-17BC12D481D4}"/>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BD83-4FE4-B0CE-17BC12D481D4}"/>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BD83-4FE4-B0CE-17BC12D481D4}"/>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BD83-4FE4-B0CE-17BC12D481D4}"/>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1.8406</c:v>
                </c:pt>
                <c:pt idx="1">
                  <c:v>2.0550999999999999</c:v>
                </c:pt>
                <c:pt idx="2">
                  <c:v>2.6406999999999998</c:v>
                </c:pt>
                <c:pt idx="3">
                  <c:v>2.9582000000000002</c:v>
                </c:pt>
                <c:pt idx="4">
                  <c:v>3.0998999999999999</c:v>
                </c:pt>
                <c:pt idx="5">
                  <c:v>3.2328999999999999</c:v>
                </c:pt>
                <c:pt idx="6">
                  <c:v>3.2612999999999999</c:v>
                </c:pt>
              </c:numCache>
            </c:numRef>
          </c:val>
          <c:smooth val="0"/>
          <c:extLst xmlns:c16r2="http://schemas.microsoft.com/office/drawing/2015/06/chart">
            <c:ext xmlns:c16="http://schemas.microsoft.com/office/drawing/2014/chart" uri="{C3380CC4-5D6E-409C-BE32-E72D297353CC}">
              <c16:uniqueId val="{00000007-BD83-4FE4-B0CE-17BC12D481D4}"/>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1.7790999999999999</c:v>
                </c:pt>
                <c:pt idx="1">
                  <c:v>2.0590999999999999</c:v>
                </c:pt>
                <c:pt idx="2">
                  <c:v>2.6389999999999998</c:v>
                </c:pt>
                <c:pt idx="3">
                  <c:v>2.9194</c:v>
                </c:pt>
                <c:pt idx="4">
                  <c:v>3.0874000000000001</c:v>
                </c:pt>
                <c:pt idx="5">
                  <c:v>3.2193999999999998</c:v>
                </c:pt>
                <c:pt idx="6">
                  <c:v>3.2456999999999998</c:v>
                </c:pt>
              </c:numCache>
            </c:numRef>
          </c:val>
          <c:smooth val="0"/>
          <c:extLst xmlns:c16r2="http://schemas.microsoft.com/office/drawing/2015/06/chart">
            <c:ext xmlns:c16="http://schemas.microsoft.com/office/drawing/2014/chart" uri="{C3380CC4-5D6E-409C-BE32-E72D297353CC}">
              <c16:uniqueId val="{00000008-BD83-4FE4-B0CE-17BC12D481D4}"/>
            </c:ext>
          </c:extLst>
        </c:ser>
        <c:dLbls>
          <c:showLegendKey val="0"/>
          <c:showVal val="0"/>
          <c:showCatName val="0"/>
          <c:showSerName val="0"/>
          <c:showPercent val="0"/>
          <c:showBubbleSize val="0"/>
        </c:dLbls>
        <c:marker val="1"/>
        <c:smooth val="0"/>
        <c:axId val="429785472"/>
        <c:axId val="424471168"/>
      </c:lineChart>
      <c:dateAx>
        <c:axId val="42446745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24469632"/>
        <c:crosses val="autoZero"/>
        <c:auto val="0"/>
        <c:lblOffset val="0"/>
        <c:baseTimeUnit val="days"/>
      </c:dateAx>
      <c:valAx>
        <c:axId val="42446963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24467456"/>
        <c:crosses val="autoZero"/>
        <c:crossBetween val="between"/>
      </c:valAx>
      <c:valAx>
        <c:axId val="424471168"/>
        <c:scaling>
          <c:orientation val="minMax"/>
        </c:scaling>
        <c:delete val="0"/>
        <c:axPos val="r"/>
        <c:numFmt formatCode="#,##0.0_);[Red]\(#,##0.0\)" sourceLinked="0"/>
        <c:majorTickMark val="out"/>
        <c:minorTickMark val="none"/>
        <c:tickLblPos val="nextTo"/>
        <c:spPr>
          <a:ln w="3175">
            <a:solidFill>
              <a:sysClr val="windowText" lastClr="000000"/>
            </a:solidFill>
          </a:ln>
        </c:spPr>
        <c:crossAx val="429785472"/>
        <c:crosses val="max"/>
        <c:crossBetween val="between"/>
      </c:valAx>
      <c:dateAx>
        <c:axId val="429785472"/>
        <c:scaling>
          <c:orientation val="minMax"/>
        </c:scaling>
        <c:delete val="1"/>
        <c:axPos val="b"/>
        <c:numFmt formatCode="General" sourceLinked="1"/>
        <c:majorTickMark val="out"/>
        <c:minorTickMark val="none"/>
        <c:tickLblPos val="nextTo"/>
        <c:crossAx val="424471168"/>
        <c:crosses val="autoZero"/>
        <c:auto val="0"/>
        <c:lblOffset val="100"/>
        <c:baseTimeUnit val="years"/>
      </c:dateAx>
    </c:plotArea>
    <c:legend>
      <c:legendPos val="r"/>
      <c:layout>
        <c:manualLayout>
          <c:xMode val="edge"/>
          <c:yMode val="edge"/>
          <c:x val="9.7200331432210615E-2"/>
          <c:y val="2.3338526534450572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1.4899999999999913</c:v>
                </c:pt>
                <c:pt idx="1">
                  <c:v>0.76999999999998181</c:v>
                </c:pt>
                <c:pt idx="2">
                  <c:v>0.12999999999996348</c:v>
                </c:pt>
                <c:pt idx="3">
                  <c:v>2.0700000000000163</c:v>
                </c:pt>
                <c:pt idx="4">
                  <c:v>2.0399999999999974</c:v>
                </c:pt>
                <c:pt idx="5">
                  <c:v>0.9300000000000086</c:v>
                </c:pt>
                <c:pt idx="6">
                  <c:v>-1.4199999999999768</c:v>
                </c:pt>
              </c:numCache>
            </c:numRef>
          </c:val>
          <c:extLst xmlns:c16r2="http://schemas.microsoft.com/office/drawing/2015/06/chart">
            <c:ext xmlns:c16="http://schemas.microsoft.com/office/drawing/2014/chart" uri="{C3380CC4-5D6E-409C-BE32-E72D297353CC}">
              <c16:uniqueId val="{00000000-2AB9-463C-9348-459D41F93A11}"/>
            </c:ext>
          </c:extLst>
        </c:ser>
        <c:dLbls>
          <c:showLegendKey val="0"/>
          <c:showVal val="0"/>
          <c:showCatName val="0"/>
          <c:showSerName val="0"/>
          <c:showPercent val="0"/>
          <c:showBubbleSize val="0"/>
        </c:dLbls>
        <c:gapWidth val="150"/>
        <c:axId val="429821312"/>
        <c:axId val="42984806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2AB9-463C-9348-459D41F93A11}"/>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2AB9-463C-9348-459D41F93A11}"/>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2AB9-463C-9348-459D41F93A11}"/>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2AB9-463C-9348-459D41F93A11}"/>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2AB9-463C-9348-459D41F93A11}"/>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2AB9-463C-9348-459D41F93A11}"/>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2.0341</c:v>
                </c:pt>
                <c:pt idx="1">
                  <c:v>2.1158999999999999</c:v>
                </c:pt>
                <c:pt idx="2">
                  <c:v>2.7277999999999998</c:v>
                </c:pt>
                <c:pt idx="3">
                  <c:v>3.2418</c:v>
                </c:pt>
                <c:pt idx="4">
                  <c:v>3.4205000000000001</c:v>
                </c:pt>
                <c:pt idx="5">
                  <c:v>3.5565000000000002</c:v>
                </c:pt>
                <c:pt idx="6">
                  <c:v>3.66</c:v>
                </c:pt>
              </c:numCache>
            </c:numRef>
          </c:val>
          <c:smooth val="0"/>
          <c:extLst xmlns:c16r2="http://schemas.microsoft.com/office/drawing/2015/06/chart">
            <c:ext xmlns:c16="http://schemas.microsoft.com/office/drawing/2014/chart" uri="{C3380CC4-5D6E-409C-BE32-E72D297353CC}">
              <c16:uniqueId val="{00000007-2AB9-463C-9348-459D41F93A11}"/>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2.0192000000000001</c:v>
                </c:pt>
                <c:pt idx="1">
                  <c:v>2.1082000000000001</c:v>
                </c:pt>
                <c:pt idx="2">
                  <c:v>2.7265000000000001</c:v>
                </c:pt>
                <c:pt idx="3">
                  <c:v>3.2210999999999999</c:v>
                </c:pt>
                <c:pt idx="4">
                  <c:v>3.4001000000000001</c:v>
                </c:pt>
                <c:pt idx="5">
                  <c:v>3.5472000000000001</c:v>
                </c:pt>
                <c:pt idx="6">
                  <c:v>3.6741999999999999</c:v>
                </c:pt>
              </c:numCache>
            </c:numRef>
          </c:val>
          <c:smooth val="0"/>
          <c:extLst xmlns:c16r2="http://schemas.microsoft.com/office/drawing/2015/06/chart">
            <c:ext xmlns:c16="http://schemas.microsoft.com/office/drawing/2014/chart" uri="{C3380CC4-5D6E-409C-BE32-E72D297353CC}">
              <c16:uniqueId val="{00000008-2AB9-463C-9348-459D41F93A11}"/>
            </c:ext>
          </c:extLst>
        </c:ser>
        <c:dLbls>
          <c:showLegendKey val="0"/>
          <c:showVal val="0"/>
          <c:showCatName val="0"/>
          <c:showSerName val="0"/>
          <c:showPercent val="0"/>
          <c:showBubbleSize val="0"/>
        </c:dLbls>
        <c:marker val="1"/>
        <c:smooth val="0"/>
        <c:axId val="430490368"/>
        <c:axId val="429849600"/>
      </c:lineChart>
      <c:dateAx>
        <c:axId val="42982131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29848064"/>
        <c:crosses val="autoZero"/>
        <c:auto val="0"/>
        <c:lblOffset val="0"/>
        <c:baseTimeUnit val="days"/>
      </c:dateAx>
      <c:valAx>
        <c:axId val="42984806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29821312"/>
        <c:crosses val="autoZero"/>
        <c:crossBetween val="between"/>
      </c:valAx>
      <c:valAx>
        <c:axId val="429849600"/>
        <c:scaling>
          <c:orientation val="minMax"/>
        </c:scaling>
        <c:delete val="0"/>
        <c:axPos val="r"/>
        <c:numFmt formatCode="#,##0.0_);[Red]\(#,##0.0\)" sourceLinked="0"/>
        <c:majorTickMark val="out"/>
        <c:minorTickMark val="none"/>
        <c:tickLblPos val="nextTo"/>
        <c:spPr>
          <a:ln w="3175">
            <a:solidFill>
              <a:sysClr val="windowText" lastClr="000000"/>
            </a:solidFill>
          </a:ln>
        </c:spPr>
        <c:crossAx val="430490368"/>
        <c:crosses val="max"/>
        <c:crossBetween val="between"/>
      </c:valAx>
      <c:dateAx>
        <c:axId val="430490368"/>
        <c:scaling>
          <c:orientation val="minMax"/>
        </c:scaling>
        <c:delete val="1"/>
        <c:axPos val="b"/>
        <c:numFmt formatCode="General" sourceLinked="1"/>
        <c:majorTickMark val="out"/>
        <c:minorTickMark val="none"/>
        <c:tickLblPos val="nextTo"/>
        <c:crossAx val="429849600"/>
        <c:crosses val="autoZero"/>
        <c:auto val="0"/>
        <c:lblOffset val="100"/>
        <c:baseTimeUnit val="years"/>
      </c:dateAx>
    </c:plotArea>
    <c:legend>
      <c:legendPos val="r"/>
      <c:layout>
        <c:manualLayout>
          <c:xMode val="edge"/>
          <c:yMode val="edge"/>
          <c:x val="0.10989504647370157"/>
          <c:y val="2.333667241298979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44267</c:v>
                </c:pt>
                <c:pt idx="1">
                  <c:v>44260</c:v>
                </c:pt>
                <c:pt idx="2">
                  <c:v>44253</c:v>
                </c:pt>
                <c:pt idx="3">
                  <c:v>44246</c:v>
                </c:pt>
                <c:pt idx="4">
                  <c:v>44237</c:v>
                </c:pt>
                <c:pt idx="5">
                  <c:v>44232</c:v>
                </c:pt>
                <c:pt idx="6">
                  <c:v>44225</c:v>
                </c:pt>
                <c:pt idx="7">
                  <c:v>44218</c:v>
                </c:pt>
                <c:pt idx="8">
                  <c:v>44211</c:v>
                </c:pt>
                <c:pt idx="9">
                  <c:v>44204</c:v>
                </c:pt>
                <c:pt idx="10">
                  <c:v>44196</c:v>
                </c:pt>
                <c:pt idx="11">
                  <c:v>44190</c:v>
                </c:pt>
                <c:pt idx="12">
                  <c:v>44183</c:v>
                </c:pt>
                <c:pt idx="13">
                  <c:v>44176</c:v>
                </c:pt>
                <c:pt idx="14">
                  <c:v>44169</c:v>
                </c:pt>
                <c:pt idx="15">
                  <c:v>44162</c:v>
                </c:pt>
                <c:pt idx="16">
                  <c:v>44155</c:v>
                </c:pt>
                <c:pt idx="17">
                  <c:v>44148</c:v>
                </c:pt>
                <c:pt idx="18">
                  <c:v>44141</c:v>
                </c:pt>
                <c:pt idx="19">
                  <c:v>44134</c:v>
                </c:pt>
                <c:pt idx="20">
                  <c:v>44127</c:v>
                </c:pt>
                <c:pt idx="21">
                  <c:v>44120</c:v>
                </c:pt>
                <c:pt idx="22">
                  <c:v>44113</c:v>
                </c:pt>
                <c:pt idx="23">
                  <c:v>44104</c:v>
                </c:pt>
              </c:numCache>
            </c:numRef>
          </c:cat>
          <c:val>
            <c:numRef>
              <c:f>转债!$H$5:$H$28</c:f>
              <c:numCache>
                <c:formatCode>General</c:formatCode>
                <c:ptCount val="24"/>
                <c:pt idx="0">
                  <c:v>2.5407530475005879</c:v>
                </c:pt>
                <c:pt idx="1">
                  <c:v>2.2152074928371013</c:v>
                </c:pt>
                <c:pt idx="2">
                  <c:v>1.7345169598822263</c:v>
                </c:pt>
                <c:pt idx="3">
                  <c:v>3.2815682309408123</c:v>
                </c:pt>
                <c:pt idx="4">
                  <c:v>1.5865543617091138</c:v>
                </c:pt>
                <c:pt idx="5">
                  <c:v>-1.2399349242954938</c:v>
                </c:pt>
                <c:pt idx="6">
                  <c:v>1.0472912405028234</c:v>
                </c:pt>
                <c:pt idx="7">
                  <c:v>5.039330490818239</c:v>
                </c:pt>
                <c:pt idx="8">
                  <c:v>4.0835728387995429</c:v>
                </c:pt>
                <c:pt idx="9">
                  <c:v>4.1276136347186299</c:v>
                </c:pt>
                <c:pt idx="10">
                  <c:v>2.5303135415147171</c:v>
                </c:pt>
                <c:pt idx="11">
                  <c:v>1.3217806512247243</c:v>
                </c:pt>
                <c:pt idx="12">
                  <c:v>1.1436130823991641</c:v>
                </c:pt>
                <c:pt idx="13">
                  <c:v>0.9830117223124768</c:v>
                </c:pt>
                <c:pt idx="14">
                  <c:v>2.7253791906960867</c:v>
                </c:pt>
                <c:pt idx="15">
                  <c:v>2.5549786143240105</c:v>
                </c:pt>
                <c:pt idx="16">
                  <c:v>1.8941161273942742</c:v>
                </c:pt>
                <c:pt idx="17">
                  <c:v>1.9244881301424988</c:v>
                </c:pt>
                <c:pt idx="18">
                  <c:v>2.2871148100678029</c:v>
                </c:pt>
                <c:pt idx="19">
                  <c:v>1.8460665611766292</c:v>
                </c:pt>
                <c:pt idx="20">
                  <c:v>2.1269588689031949</c:v>
                </c:pt>
                <c:pt idx="21">
                  <c:v>2.5891088392271611</c:v>
                </c:pt>
                <c:pt idx="22">
                  <c:v>0.97944837093597581</c:v>
                </c:pt>
                <c:pt idx="23">
                  <c:v>0</c:v>
                </c:pt>
              </c:numCache>
            </c:numRef>
          </c:val>
          <c:smooth val="1"/>
          <c:extLst xmlns:c16r2="http://schemas.microsoft.com/office/drawing/2015/06/chart">
            <c:ext xmlns:c16="http://schemas.microsoft.com/office/drawing/2014/chart" uri="{C3380CC4-5D6E-409C-BE32-E72D297353CC}">
              <c16:uniqueId val="{00000000-57F7-4E2C-81AE-AB3116423A54}"/>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44267</c:v>
                </c:pt>
                <c:pt idx="1">
                  <c:v>44260</c:v>
                </c:pt>
                <c:pt idx="2">
                  <c:v>44253</c:v>
                </c:pt>
                <c:pt idx="3">
                  <c:v>44246</c:v>
                </c:pt>
                <c:pt idx="4">
                  <c:v>44237</c:v>
                </c:pt>
                <c:pt idx="5">
                  <c:v>44232</c:v>
                </c:pt>
                <c:pt idx="6">
                  <c:v>44225</c:v>
                </c:pt>
                <c:pt idx="7">
                  <c:v>44218</c:v>
                </c:pt>
                <c:pt idx="8">
                  <c:v>44211</c:v>
                </c:pt>
                <c:pt idx="9">
                  <c:v>44204</c:v>
                </c:pt>
                <c:pt idx="10">
                  <c:v>44196</c:v>
                </c:pt>
                <c:pt idx="11">
                  <c:v>44190</c:v>
                </c:pt>
                <c:pt idx="12">
                  <c:v>44183</c:v>
                </c:pt>
                <c:pt idx="13">
                  <c:v>44176</c:v>
                </c:pt>
                <c:pt idx="14">
                  <c:v>44169</c:v>
                </c:pt>
                <c:pt idx="15">
                  <c:v>44162</c:v>
                </c:pt>
                <c:pt idx="16">
                  <c:v>44155</c:v>
                </c:pt>
                <c:pt idx="17">
                  <c:v>44148</c:v>
                </c:pt>
                <c:pt idx="18">
                  <c:v>44141</c:v>
                </c:pt>
                <c:pt idx="19">
                  <c:v>44134</c:v>
                </c:pt>
                <c:pt idx="20">
                  <c:v>44127</c:v>
                </c:pt>
                <c:pt idx="21">
                  <c:v>44120</c:v>
                </c:pt>
                <c:pt idx="22">
                  <c:v>44113</c:v>
                </c:pt>
                <c:pt idx="23">
                  <c:v>44104</c:v>
                </c:pt>
              </c:numCache>
            </c:numRef>
          </c:cat>
          <c:val>
            <c:numRef>
              <c:f>转债!$I$5:$I$28</c:f>
              <c:numCache>
                <c:formatCode>General</c:formatCode>
                <c:ptCount val="24"/>
                <c:pt idx="0">
                  <c:v>0.29825706030384147</c:v>
                </c:pt>
                <c:pt idx="1">
                  <c:v>0.28808143238636674</c:v>
                </c:pt>
                <c:pt idx="2">
                  <c:v>0.13835433588635926</c:v>
                </c:pt>
                <c:pt idx="3">
                  <c:v>0.16528982155026295</c:v>
                </c:pt>
                <c:pt idx="4">
                  <c:v>0.24036714349602306</c:v>
                </c:pt>
                <c:pt idx="5">
                  <c:v>0.25627190645947096</c:v>
                </c:pt>
                <c:pt idx="6">
                  <c:v>0.45089147906598459</c:v>
                </c:pt>
                <c:pt idx="7">
                  <c:v>0.83243477123222664</c:v>
                </c:pt>
                <c:pt idx="8">
                  <c:v>0.75718643032987032</c:v>
                </c:pt>
                <c:pt idx="9">
                  <c:v>0.76787511511713369</c:v>
                </c:pt>
                <c:pt idx="10">
                  <c:v>0.74282083797578835</c:v>
                </c:pt>
                <c:pt idx="11">
                  <c:v>0.46500054298519444</c:v>
                </c:pt>
                <c:pt idx="12">
                  <c:v>0.14348490458424568</c:v>
                </c:pt>
                <c:pt idx="13">
                  <c:v>1.3168459657908471E-2</c:v>
                </c:pt>
                <c:pt idx="14">
                  <c:v>-3.0441374274137178E-2</c:v>
                </c:pt>
                <c:pt idx="15">
                  <c:v>-0.20556478582869353</c:v>
                </c:pt>
                <c:pt idx="16">
                  <c:v>-0.39154790112709836</c:v>
                </c:pt>
                <c:pt idx="17">
                  <c:v>-0.1228771203144019</c:v>
                </c:pt>
                <c:pt idx="18">
                  <c:v>9.7566314738162241E-2</c:v>
                </c:pt>
                <c:pt idx="19">
                  <c:v>7.6103435685337395E-2</c:v>
                </c:pt>
                <c:pt idx="20">
                  <c:v>-3.3177677579665499E-2</c:v>
                </c:pt>
                <c:pt idx="21">
                  <c:v>-0.28098414568762387</c:v>
                </c:pt>
                <c:pt idx="22">
                  <c:v>-0.20522274791549</c:v>
                </c:pt>
                <c:pt idx="23">
                  <c:v>0</c:v>
                </c:pt>
              </c:numCache>
            </c:numRef>
          </c:val>
          <c:smooth val="1"/>
          <c:extLst xmlns:c16r2="http://schemas.microsoft.com/office/drawing/2015/06/chart">
            <c:ext xmlns:c16="http://schemas.microsoft.com/office/drawing/2014/chart" uri="{C3380CC4-5D6E-409C-BE32-E72D297353CC}">
              <c16:uniqueId val="{00000001-57F7-4E2C-81AE-AB3116423A54}"/>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44267</c:v>
                </c:pt>
                <c:pt idx="1">
                  <c:v>44260</c:v>
                </c:pt>
                <c:pt idx="2">
                  <c:v>44253</c:v>
                </c:pt>
                <c:pt idx="3">
                  <c:v>44246</c:v>
                </c:pt>
                <c:pt idx="4">
                  <c:v>44237</c:v>
                </c:pt>
                <c:pt idx="5">
                  <c:v>44232</c:v>
                </c:pt>
                <c:pt idx="6">
                  <c:v>44225</c:v>
                </c:pt>
                <c:pt idx="7">
                  <c:v>44218</c:v>
                </c:pt>
                <c:pt idx="8">
                  <c:v>44211</c:v>
                </c:pt>
                <c:pt idx="9">
                  <c:v>44204</c:v>
                </c:pt>
                <c:pt idx="10">
                  <c:v>44196</c:v>
                </c:pt>
                <c:pt idx="11">
                  <c:v>44190</c:v>
                </c:pt>
                <c:pt idx="12">
                  <c:v>44183</c:v>
                </c:pt>
                <c:pt idx="13">
                  <c:v>44176</c:v>
                </c:pt>
                <c:pt idx="14">
                  <c:v>44169</c:v>
                </c:pt>
                <c:pt idx="15">
                  <c:v>44162</c:v>
                </c:pt>
                <c:pt idx="16">
                  <c:v>44155</c:v>
                </c:pt>
                <c:pt idx="17">
                  <c:v>44148</c:v>
                </c:pt>
                <c:pt idx="18">
                  <c:v>44141</c:v>
                </c:pt>
                <c:pt idx="19">
                  <c:v>44134</c:v>
                </c:pt>
                <c:pt idx="20">
                  <c:v>44127</c:v>
                </c:pt>
                <c:pt idx="21">
                  <c:v>44120</c:v>
                </c:pt>
                <c:pt idx="22">
                  <c:v>44113</c:v>
                </c:pt>
                <c:pt idx="23">
                  <c:v>44104</c:v>
                </c:pt>
              </c:numCache>
            </c:numRef>
          </c:cat>
          <c:val>
            <c:numRef>
              <c:f>转债!$J$5:$J$28</c:f>
              <c:numCache>
                <c:formatCode>General</c:formatCode>
                <c:ptCount val="24"/>
                <c:pt idx="0">
                  <c:v>12.185200172306931</c:v>
                </c:pt>
                <c:pt idx="1">
                  <c:v>14.722962723530708</c:v>
                </c:pt>
                <c:pt idx="2">
                  <c:v>16.335317778260784</c:v>
                </c:pt>
                <c:pt idx="3">
                  <c:v>25.972182950965639</c:v>
                </c:pt>
                <c:pt idx="4">
                  <c:v>26.601670887180795</c:v>
                </c:pt>
                <c:pt idx="5">
                  <c:v>19.532188560248986</c:v>
                </c:pt>
                <c:pt idx="6">
                  <c:v>16.666741146114017</c:v>
                </c:pt>
                <c:pt idx="7">
                  <c:v>21.414781935186621</c:v>
                </c:pt>
                <c:pt idx="8">
                  <c:v>18.979962332873292</c:v>
                </c:pt>
                <c:pt idx="9">
                  <c:v>19.794136772996197</c:v>
                </c:pt>
                <c:pt idx="10">
                  <c:v>13.600162166098917</c:v>
                </c:pt>
                <c:pt idx="11">
                  <c:v>9.9101640532264668</c:v>
                </c:pt>
                <c:pt idx="12">
                  <c:v>8.9936112547353453</c:v>
                </c:pt>
                <c:pt idx="13">
                  <c:v>6.5883552699284476</c:v>
                </c:pt>
                <c:pt idx="14">
                  <c:v>10.431213547260686</c:v>
                </c:pt>
                <c:pt idx="15">
                  <c:v>8.5750120553160123</c:v>
                </c:pt>
                <c:pt idx="16">
                  <c:v>7.7580604400933062</c:v>
                </c:pt>
                <c:pt idx="17">
                  <c:v>5.8738343303442742</c:v>
                </c:pt>
                <c:pt idx="18">
                  <c:v>6.5030911986154738</c:v>
                </c:pt>
                <c:pt idx="19">
                  <c:v>2.3529365345951403</c:v>
                </c:pt>
                <c:pt idx="20">
                  <c:v>2.8576739397191186</c:v>
                </c:pt>
                <c:pt idx="21">
                  <c:v>4.4530869184087996</c:v>
                </c:pt>
                <c:pt idx="22">
                  <c:v>2.0435539967528005</c:v>
                </c:pt>
                <c:pt idx="23">
                  <c:v>0</c:v>
                </c:pt>
              </c:numCache>
            </c:numRef>
          </c:val>
          <c:smooth val="1"/>
          <c:extLst xmlns:c16r2="http://schemas.microsoft.com/office/drawing/2015/06/chart">
            <c:ext xmlns:c16="http://schemas.microsoft.com/office/drawing/2014/chart" uri="{C3380CC4-5D6E-409C-BE32-E72D297353CC}">
              <c16:uniqueId val="{00000002-57F7-4E2C-81AE-AB3116423A54}"/>
            </c:ext>
          </c:extLst>
        </c:ser>
        <c:dLbls>
          <c:showLegendKey val="0"/>
          <c:showVal val="0"/>
          <c:showCatName val="0"/>
          <c:showSerName val="0"/>
          <c:showPercent val="0"/>
          <c:showBubbleSize val="0"/>
        </c:dLbls>
        <c:marker val="1"/>
        <c:smooth val="0"/>
        <c:axId val="430921984"/>
        <c:axId val="430923776"/>
      </c:lineChart>
      <c:dateAx>
        <c:axId val="43092198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500"/>
            </a:pPr>
            <a:endParaRPr lang="zh-CN"/>
          </a:p>
        </c:txPr>
        <c:crossAx val="430923776"/>
        <c:crosses val="autoZero"/>
        <c:auto val="0"/>
        <c:lblOffset val="0"/>
        <c:baseTimeUnit val="days"/>
        <c:majorUnit val="14"/>
        <c:majorTimeUnit val="days"/>
      </c:dateAx>
      <c:valAx>
        <c:axId val="43092377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30921984"/>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7551-4063-A134-D1FF8B7623F8}"/>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7551-4063-A134-D1FF8B7623F8}"/>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7551-4063-A134-D1FF8B7623F8}"/>
            </c:ext>
          </c:extLst>
        </c:ser>
        <c:dLbls>
          <c:showLegendKey val="0"/>
          <c:showVal val="0"/>
          <c:showCatName val="0"/>
          <c:showSerName val="0"/>
          <c:showPercent val="0"/>
          <c:showBubbleSize val="0"/>
        </c:dLbls>
        <c:marker val="1"/>
        <c:smooth val="0"/>
        <c:axId val="430952832"/>
        <c:axId val="430954368"/>
      </c:lineChart>
      <c:dateAx>
        <c:axId val="4309528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30954368"/>
        <c:crosses val="autoZero"/>
        <c:auto val="0"/>
        <c:lblOffset val="0"/>
        <c:baseTimeUnit val="days"/>
        <c:majorUnit val="1"/>
        <c:majorTimeUnit val="months"/>
      </c:dateAx>
      <c:valAx>
        <c:axId val="43095436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3095283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55D9-44F2-9538-F15BB4B1093E}"/>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55D9-44F2-9538-F15BB4B1093E}"/>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55D9-44F2-9538-F15BB4B1093E}"/>
            </c:ext>
          </c:extLst>
        </c:ser>
        <c:dLbls>
          <c:showLegendKey val="0"/>
          <c:showVal val="0"/>
          <c:showCatName val="0"/>
          <c:showSerName val="0"/>
          <c:showPercent val="0"/>
          <c:showBubbleSize val="0"/>
        </c:dLbls>
        <c:marker val="1"/>
        <c:smooth val="0"/>
        <c:axId val="431251840"/>
        <c:axId val="431253376"/>
      </c:lineChart>
      <c:dateAx>
        <c:axId val="43125184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31253376"/>
        <c:crosses val="autoZero"/>
        <c:auto val="0"/>
        <c:lblOffset val="0"/>
        <c:baseTimeUnit val="days"/>
        <c:majorUnit val="1"/>
        <c:majorTimeUnit val="months"/>
      </c:dateAx>
      <c:valAx>
        <c:axId val="43125337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3125184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44268</c:v>
                </c:pt>
                <c:pt idx="1">
                  <c:v>44261</c:v>
                </c:pt>
                <c:pt idx="2">
                  <c:v>44254</c:v>
                </c:pt>
                <c:pt idx="3">
                  <c:v>44247</c:v>
                </c:pt>
                <c:pt idx="4">
                  <c:v>44240</c:v>
                </c:pt>
                <c:pt idx="5">
                  <c:v>44233</c:v>
                </c:pt>
                <c:pt idx="6">
                  <c:v>44226</c:v>
                </c:pt>
                <c:pt idx="7">
                  <c:v>44219</c:v>
                </c:pt>
                <c:pt idx="8">
                  <c:v>44212</c:v>
                </c:pt>
                <c:pt idx="9">
                  <c:v>44205</c:v>
                </c:pt>
                <c:pt idx="10">
                  <c:v>44198</c:v>
                </c:pt>
                <c:pt idx="11">
                  <c:v>44191</c:v>
                </c:pt>
                <c:pt idx="12">
                  <c:v>44184</c:v>
                </c:pt>
                <c:pt idx="13">
                  <c:v>44177</c:v>
                </c:pt>
                <c:pt idx="14">
                  <c:v>44170</c:v>
                </c:pt>
                <c:pt idx="15">
                  <c:v>44163</c:v>
                </c:pt>
                <c:pt idx="16">
                  <c:v>44156</c:v>
                </c:pt>
                <c:pt idx="17">
                  <c:v>44149</c:v>
                </c:pt>
                <c:pt idx="18">
                  <c:v>44142</c:v>
                </c:pt>
                <c:pt idx="19">
                  <c:v>44135</c:v>
                </c:pt>
                <c:pt idx="20">
                  <c:v>44128</c:v>
                </c:pt>
                <c:pt idx="21">
                  <c:v>44121</c:v>
                </c:pt>
                <c:pt idx="22">
                  <c:v>44114</c:v>
                </c:pt>
                <c:pt idx="23">
                  <c:v>44107</c:v>
                </c:pt>
                <c:pt idx="24">
                  <c:v>44100</c:v>
                </c:pt>
                <c:pt idx="25">
                  <c:v>44093</c:v>
                </c:pt>
              </c:numCache>
            </c:numRef>
          </c:cat>
          <c:val>
            <c:numRef>
              <c:f>汇率!$B$3:$B$28</c:f>
              <c:numCache>
                <c:formatCode>###,###,###,###,##0.00</c:formatCode>
                <c:ptCount val="26"/>
                <c:pt idx="0">
                  <c:v>6.5035999999999996</c:v>
                </c:pt>
                <c:pt idx="1">
                  <c:v>6.4767999999999999</c:v>
                </c:pt>
                <c:pt idx="2">
                  <c:v>6.4589999999999996</c:v>
                </c:pt>
                <c:pt idx="3">
                  <c:v>6.4574999999999996</c:v>
                </c:pt>
                <c:pt idx="4">
                  <c:v>6.4379999999999997</c:v>
                </c:pt>
                <c:pt idx="5">
                  <c:v>6.4809999999999999</c:v>
                </c:pt>
                <c:pt idx="6">
                  <c:v>6.4611999999999998</c:v>
                </c:pt>
                <c:pt idx="7">
                  <c:v>6.4776999999999996</c:v>
                </c:pt>
                <c:pt idx="8">
                  <c:v>6.4752000000000001</c:v>
                </c:pt>
                <c:pt idx="9">
                  <c:v>6.4718999999999998</c:v>
                </c:pt>
                <c:pt idx="10">
                  <c:v>6.5397999999999996</c:v>
                </c:pt>
                <c:pt idx="11">
                  <c:v>6.5240999999999998</c:v>
                </c:pt>
                <c:pt idx="12">
                  <c:v>6.5415000000000001</c:v>
                </c:pt>
                <c:pt idx="13">
                  <c:v>6.5411000000000001</c:v>
                </c:pt>
                <c:pt idx="14">
                  <c:v>6.5301999999999998</c:v>
                </c:pt>
                <c:pt idx="15">
                  <c:v>6.5823</c:v>
                </c:pt>
                <c:pt idx="16">
                  <c:v>6.5713999999999997</c:v>
                </c:pt>
                <c:pt idx="17">
                  <c:v>6.6143999999999998</c:v>
                </c:pt>
                <c:pt idx="18">
                  <c:v>6.6215000000000002</c:v>
                </c:pt>
                <c:pt idx="19">
                  <c:v>6.7001999999999997</c:v>
                </c:pt>
                <c:pt idx="20">
                  <c:v>6.6689999999999996</c:v>
                </c:pt>
                <c:pt idx="21">
                  <c:v>6.6981999999999999</c:v>
                </c:pt>
                <c:pt idx="22">
                  <c:v>6.7134999999999998</c:v>
                </c:pt>
                <c:pt idx="23">
                  <c:v>6.8106</c:v>
                </c:pt>
                <c:pt idx="24">
                  <c:v>6.8201999999999998</c:v>
                </c:pt>
                <c:pt idx="25">
                  <c:v>6.7587999999999999</c:v>
                </c:pt>
              </c:numCache>
            </c:numRef>
          </c:val>
          <c:smooth val="1"/>
          <c:extLst xmlns:c16r2="http://schemas.microsoft.com/office/drawing/2015/06/chart">
            <c:ext xmlns:c16="http://schemas.microsoft.com/office/drawing/2014/chart" uri="{C3380CC4-5D6E-409C-BE32-E72D297353CC}">
              <c16:uniqueId val="{00000000-6DEE-4614-B98C-F84A1FF7BE8C}"/>
            </c:ext>
          </c:extLst>
        </c:ser>
        <c:dLbls>
          <c:showLegendKey val="0"/>
          <c:showVal val="0"/>
          <c:showCatName val="0"/>
          <c:showSerName val="0"/>
          <c:showPercent val="0"/>
          <c:showBubbleSize val="0"/>
        </c:dLbls>
        <c:marker val="1"/>
        <c:smooth val="0"/>
        <c:axId val="431284608"/>
        <c:axId val="43128614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44268</c:v>
                </c:pt>
                <c:pt idx="1">
                  <c:v>44261</c:v>
                </c:pt>
                <c:pt idx="2">
                  <c:v>44254</c:v>
                </c:pt>
                <c:pt idx="3">
                  <c:v>44247</c:v>
                </c:pt>
                <c:pt idx="4">
                  <c:v>44240</c:v>
                </c:pt>
                <c:pt idx="5">
                  <c:v>44233</c:v>
                </c:pt>
                <c:pt idx="6">
                  <c:v>44226</c:v>
                </c:pt>
                <c:pt idx="7">
                  <c:v>44219</c:v>
                </c:pt>
                <c:pt idx="8">
                  <c:v>44212</c:v>
                </c:pt>
                <c:pt idx="9">
                  <c:v>44205</c:v>
                </c:pt>
                <c:pt idx="10">
                  <c:v>44198</c:v>
                </c:pt>
                <c:pt idx="11">
                  <c:v>44191</c:v>
                </c:pt>
                <c:pt idx="12">
                  <c:v>44184</c:v>
                </c:pt>
                <c:pt idx="13">
                  <c:v>44177</c:v>
                </c:pt>
                <c:pt idx="14">
                  <c:v>44170</c:v>
                </c:pt>
                <c:pt idx="15">
                  <c:v>44163</c:v>
                </c:pt>
                <c:pt idx="16">
                  <c:v>44156</c:v>
                </c:pt>
                <c:pt idx="17">
                  <c:v>44149</c:v>
                </c:pt>
                <c:pt idx="18">
                  <c:v>44142</c:v>
                </c:pt>
                <c:pt idx="19">
                  <c:v>44135</c:v>
                </c:pt>
                <c:pt idx="20">
                  <c:v>44128</c:v>
                </c:pt>
                <c:pt idx="21">
                  <c:v>44121</c:v>
                </c:pt>
                <c:pt idx="22">
                  <c:v>44114</c:v>
                </c:pt>
                <c:pt idx="23">
                  <c:v>44107</c:v>
                </c:pt>
                <c:pt idx="24">
                  <c:v>44100</c:v>
                </c:pt>
                <c:pt idx="25">
                  <c:v>44093</c:v>
                </c:pt>
              </c:numCache>
            </c:numRef>
          </c:cat>
          <c:val>
            <c:numRef>
              <c:f>汇率!$C$3:$C$28</c:f>
              <c:numCache>
                <c:formatCode>###,###,###,###,##0.00</c:formatCode>
                <c:ptCount val="26"/>
                <c:pt idx="0">
                  <c:v>162.13</c:v>
                </c:pt>
                <c:pt idx="1">
                  <c:v>168.56999999999996</c:v>
                </c:pt>
                <c:pt idx="2">
                  <c:v>183.98</c:v>
                </c:pt>
                <c:pt idx="3">
                  <c:v>191.78</c:v>
                </c:pt>
                <c:pt idx="4">
                  <c:v>209.49</c:v>
                </c:pt>
                <c:pt idx="5">
                  <c:v>202.64000000000001</c:v>
                </c:pt>
                <c:pt idx="6">
                  <c:v>206.86</c:v>
                </c:pt>
                <c:pt idx="7">
                  <c:v>201.85</c:v>
                </c:pt>
                <c:pt idx="8">
                  <c:v>204.07999999999998</c:v>
                </c:pt>
                <c:pt idx="9">
                  <c:v>201.56</c:v>
                </c:pt>
                <c:pt idx="10">
                  <c:v>221.29</c:v>
                </c:pt>
                <c:pt idx="11">
                  <c:v>229.03000000000003</c:v>
                </c:pt>
                <c:pt idx="12">
                  <c:v>234.02000000000004</c:v>
                </c:pt>
                <c:pt idx="13">
                  <c:v>239.51000000000002</c:v>
                </c:pt>
                <c:pt idx="14">
                  <c:v>229.50999999999996</c:v>
                </c:pt>
                <c:pt idx="15">
                  <c:v>246</c:v>
                </c:pt>
                <c:pt idx="16">
                  <c:v>248</c:v>
                </c:pt>
                <c:pt idx="17">
                  <c:v>238.15</c:v>
                </c:pt>
                <c:pt idx="18">
                  <c:v>237.63</c:v>
                </c:pt>
                <c:pt idx="19">
                  <c:v>230.10000000000002</c:v>
                </c:pt>
                <c:pt idx="20">
                  <c:v>234.57</c:v>
                </c:pt>
                <c:pt idx="21">
                  <c:v>246.02000000000004</c:v>
                </c:pt>
                <c:pt idx="22">
                  <c:v>239.73</c:v>
                </c:pt>
                <c:pt idx="23">
                  <c:v>245.82000000000002</c:v>
                </c:pt>
                <c:pt idx="24">
                  <c:v>246.95</c:v>
                </c:pt>
                <c:pt idx="25">
                  <c:v>241.62</c:v>
                </c:pt>
              </c:numCache>
            </c:numRef>
          </c:val>
          <c:smooth val="1"/>
          <c:extLst xmlns:c16r2="http://schemas.microsoft.com/office/drawing/2015/06/chart">
            <c:ext xmlns:c16="http://schemas.microsoft.com/office/drawing/2014/chart" uri="{C3380CC4-5D6E-409C-BE32-E72D297353CC}">
              <c16:uniqueId val="{00000001-6DEE-4614-B98C-F84A1FF7BE8C}"/>
            </c:ext>
          </c:extLst>
        </c:ser>
        <c:dLbls>
          <c:showLegendKey val="0"/>
          <c:showVal val="0"/>
          <c:showCatName val="0"/>
          <c:showSerName val="0"/>
          <c:showPercent val="0"/>
          <c:showBubbleSize val="0"/>
        </c:dLbls>
        <c:marker val="1"/>
        <c:smooth val="0"/>
        <c:axId val="431289472"/>
        <c:axId val="431287680"/>
      </c:lineChart>
      <c:dateAx>
        <c:axId val="43128460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31286144"/>
        <c:crosses val="autoZero"/>
        <c:auto val="0"/>
        <c:lblOffset val="0"/>
        <c:baseTimeUnit val="days"/>
      </c:dateAx>
      <c:valAx>
        <c:axId val="43128614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31284608"/>
        <c:crosses val="autoZero"/>
        <c:crossBetween val="between"/>
      </c:valAx>
      <c:valAx>
        <c:axId val="431287680"/>
        <c:scaling>
          <c:orientation val="minMax"/>
        </c:scaling>
        <c:delete val="0"/>
        <c:axPos val="r"/>
        <c:numFmt formatCode="#,##0_);[Red]\(#,##0\)" sourceLinked="0"/>
        <c:majorTickMark val="out"/>
        <c:minorTickMark val="none"/>
        <c:tickLblPos val="nextTo"/>
        <c:spPr>
          <a:ln w="3175">
            <a:solidFill>
              <a:sysClr val="windowText" lastClr="000000"/>
            </a:solidFill>
          </a:ln>
        </c:spPr>
        <c:crossAx val="431289472"/>
        <c:crosses val="max"/>
        <c:crossBetween val="between"/>
      </c:valAx>
      <c:dateAx>
        <c:axId val="431289472"/>
        <c:scaling>
          <c:orientation val="minMax"/>
        </c:scaling>
        <c:delete val="1"/>
        <c:axPos val="b"/>
        <c:numFmt formatCode="yyyy\-mm\-dd;@" sourceLinked="1"/>
        <c:majorTickMark val="out"/>
        <c:minorTickMark val="none"/>
        <c:tickLblPos val="nextTo"/>
        <c:crossAx val="431287680"/>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AB11-45EA-A353-ADF91689AC91}"/>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AB11-45EA-A353-ADF91689AC91}"/>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AB11-45EA-A353-ADF91689AC91}"/>
            </c:ext>
          </c:extLst>
        </c:ser>
        <c:dLbls>
          <c:showLegendKey val="0"/>
          <c:showVal val="0"/>
          <c:showCatName val="0"/>
          <c:showSerName val="0"/>
          <c:showPercent val="0"/>
          <c:showBubbleSize val="0"/>
        </c:dLbls>
        <c:marker val="1"/>
        <c:smooth val="0"/>
        <c:axId val="431697920"/>
        <c:axId val="431699456"/>
      </c:lineChart>
      <c:dateAx>
        <c:axId val="431697920"/>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31699456"/>
        <c:crosses val="autoZero"/>
        <c:auto val="0"/>
        <c:lblOffset val="0"/>
        <c:baseTimeUnit val="days"/>
        <c:majorUnit val="1"/>
        <c:majorTimeUnit val="months"/>
      </c:dateAx>
      <c:valAx>
        <c:axId val="431699456"/>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31697920"/>
        <c:crosses val="autoZero"/>
        <c:crossBetween val="between"/>
      </c:valAx>
      <c:spPr>
        <a:solidFill>
          <a:schemeClr val="bg1"/>
        </a:solidFill>
        <a:ln>
          <a:noFill/>
        </a:ln>
        <a:effectLst/>
      </c:spPr>
    </c:plotArea>
    <c:legend>
      <c:legendPos val="r"/>
      <c:layout>
        <c:manualLayout>
          <c:xMode val="edge"/>
          <c:yMode val="edge"/>
          <c:x val="0.15225"/>
          <c:y val="2.3337707786526686E-3"/>
          <c:w val="0.7304298527905031"/>
          <c:h val="5.0960808256650759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5.32028E-7</cdr:y>
    </cdr:from>
    <cdr:to>
      <cdr:x>0.12994</cdr:x>
      <cdr:y>0.08884</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89614" cy="16697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96325F-86CE-4C70-9617-4E7C33271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767</Words>
  <Characters>4375</Characters>
  <Application>Microsoft Office Word</Application>
  <DocSecurity>0</DocSecurity>
  <Lines>36</Lines>
  <Paragraphs>10</Paragraphs>
  <ScaleCrop>false</ScaleCrop>
  <Company>Microsoft</Company>
  <LinksUpToDate>false</LinksUpToDate>
  <CharactersWithSpaces>5132</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2</cp:revision>
  <cp:lastPrinted>2019-06-26T06:05:00Z</cp:lastPrinted>
  <dcterms:created xsi:type="dcterms:W3CDTF">2021-03-15T05:39:00Z</dcterms:created>
  <dcterms:modified xsi:type="dcterms:W3CDTF">2021-03-15T05:39:00Z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